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C6029" w14:textId="2C09F588" w:rsidR="74B59FD0" w:rsidRPr="00E63A17" w:rsidRDefault="7FBC7CC8" w:rsidP="7B4ED9F9">
      <w:pPr>
        <w:pStyle w:val="Ttulo1"/>
        <w:shd w:val="clear" w:color="auto" w:fill="FFFFFF" w:themeFill="background1"/>
        <w:spacing w:before="0" w:after="150" w:line="276" w:lineRule="auto"/>
        <w:jc w:val="both"/>
        <w:rPr>
          <w:rFonts w:ascii="Arial" w:eastAsia="Helvetica" w:hAnsi="Arial" w:cs="Arial"/>
          <w:b/>
          <w:bCs/>
          <w:caps/>
          <w:color w:val="0A4149"/>
          <w:sz w:val="28"/>
          <w:szCs w:val="28"/>
        </w:rPr>
      </w:pPr>
      <w:r w:rsidRPr="00E63A17">
        <w:rPr>
          <w:rFonts w:ascii="Arial" w:eastAsia="Helvetica" w:hAnsi="Arial" w:cs="Arial"/>
          <w:b/>
          <w:bCs/>
          <w:caps/>
          <w:color w:val="0A4149"/>
          <w:sz w:val="28"/>
          <w:szCs w:val="28"/>
        </w:rPr>
        <w:t>Promotion of circular economy for consumers: Benefits and examples of circular practices in packaging</w:t>
      </w:r>
    </w:p>
    <w:p w14:paraId="66B4B1DE" w14:textId="77D3B118"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Every day, consumers make dozens of decisions that contribute to environmental impact. One of the most significant—and often overlooked—is related to the packaging of the products we buy. Whether it’s takeaway food, bottled drinks, or supermarket goods, packaging is everywhere. And unfortunately, most of it is still designed for </w:t>
      </w:r>
      <w:proofErr w:type="gramStart"/>
      <w:r w:rsidRPr="00E63A17">
        <w:rPr>
          <w:rFonts w:ascii="Arial" w:eastAsia="Encode Sans" w:hAnsi="Arial" w:cs="Arial"/>
          <w:color w:val="333333"/>
          <w:lang w:val="en-US"/>
        </w:rPr>
        <w:t>single-use</w:t>
      </w:r>
      <w:proofErr w:type="gramEnd"/>
      <w:r w:rsidRPr="00E63A17">
        <w:rPr>
          <w:rFonts w:ascii="Arial" w:eastAsia="Encode Sans" w:hAnsi="Arial" w:cs="Arial"/>
          <w:color w:val="333333"/>
          <w:lang w:val="en-US"/>
        </w:rPr>
        <w:t xml:space="preserve">. </w:t>
      </w:r>
    </w:p>
    <w:p w14:paraId="3E8DB197" w14:textId="422FAF43"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The circular economy offers an alternative: a way to transform our consumption habits by promoting smarter, more sustainable systems. But what does this mean for everyday consumers? And what practical packaging solutions already exist to support this shift? </w:t>
      </w:r>
    </w:p>
    <w:p w14:paraId="134A2F72" w14:textId="553A8DC6"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3E1D8B4F" w14:textId="746E3B37" w:rsidR="74B59FD0" w:rsidRPr="00E63A17" w:rsidRDefault="7FBC7CC8" w:rsidP="7B4ED9F9">
      <w:pPr>
        <w:pStyle w:val="Ttulo3"/>
        <w:shd w:val="clear" w:color="auto" w:fill="FFFFFF" w:themeFill="background1"/>
        <w:spacing w:before="0" w:after="150" w:line="276" w:lineRule="auto"/>
        <w:jc w:val="both"/>
        <w:rPr>
          <w:rFonts w:ascii="Arial" w:hAnsi="Arial" w:cs="Arial"/>
        </w:rPr>
      </w:pPr>
      <w:r w:rsidRPr="00E63A17">
        <w:rPr>
          <w:rFonts w:ascii="Arial" w:eastAsia="Helvetica" w:hAnsi="Arial" w:cs="Arial"/>
          <w:b/>
          <w:bCs/>
          <w:caps/>
          <w:color w:val="0A4149"/>
          <w:lang w:val="en-US"/>
        </w:rPr>
        <w:t xml:space="preserve">Why Consumer Participation Matters </w:t>
      </w:r>
    </w:p>
    <w:p w14:paraId="2BFF64A3" w14:textId="0823B8E1"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Consumers are key players in the transition to a circular economy. </w:t>
      </w:r>
      <w:r w:rsidRPr="00E63A17">
        <w:rPr>
          <w:rFonts w:ascii="Arial" w:eastAsia="Encode Sans" w:hAnsi="Arial" w:cs="Arial"/>
          <w:b/>
          <w:bCs/>
          <w:color w:val="333333"/>
          <w:lang w:val="en-US"/>
        </w:rPr>
        <w:t>Their preferences shape production models and influence companies to adopt sustainable practices</w:t>
      </w:r>
      <w:r w:rsidRPr="00E63A17">
        <w:rPr>
          <w:rFonts w:ascii="Arial" w:eastAsia="Encode Sans" w:hAnsi="Arial" w:cs="Arial"/>
          <w:color w:val="333333"/>
          <w:lang w:val="en-US"/>
        </w:rPr>
        <w:t xml:space="preserve">. When shoppers choose products with recyclable, reusable, or compostable packaging—or opt for refill systems over disposables—they send a clear signal to the market. </w:t>
      </w:r>
    </w:p>
    <w:p w14:paraId="0E45F79A" w14:textId="4DFB0536"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Public awareness, however, remains a major hurdle. A 2022 EU survey showed that while most consumers support environmental initiatives, only a small percentage feel informed enough to act effectively (</w:t>
      </w:r>
      <w:hyperlink r:id="rId7">
        <w:r w:rsidRPr="00E63A17">
          <w:rPr>
            <w:rStyle w:val="Hipervnculo"/>
            <w:rFonts w:ascii="Arial" w:eastAsia="Encode Sans" w:hAnsi="Arial" w:cs="Arial"/>
            <w:color w:val="028287"/>
            <w:lang w:val="en-US"/>
          </w:rPr>
          <w:t>Eurobarometer, 2022</w:t>
        </w:r>
      </w:hyperlink>
      <w:r w:rsidRPr="00E63A17">
        <w:rPr>
          <w:rFonts w:ascii="Arial" w:eastAsia="Encode Sans" w:hAnsi="Arial" w:cs="Arial"/>
          <w:color w:val="333333"/>
          <w:lang w:val="en-US"/>
        </w:rPr>
        <w:t xml:space="preserve">). Making circular packaging solutions accessible, affordable, and easy to understand is crucial to bridging that gap. </w:t>
      </w:r>
    </w:p>
    <w:p w14:paraId="3B45D369" w14:textId="6BEA51E5"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0AC5DF9B" w14:textId="7125753A" w:rsidR="74B59FD0" w:rsidRPr="00E63A17" w:rsidRDefault="7FBC7CC8" w:rsidP="7B4ED9F9">
      <w:pPr>
        <w:pStyle w:val="Ttulo3"/>
        <w:shd w:val="clear" w:color="auto" w:fill="FFFFFF" w:themeFill="background1"/>
        <w:spacing w:before="0" w:after="150" w:line="276" w:lineRule="auto"/>
        <w:jc w:val="both"/>
        <w:rPr>
          <w:rFonts w:ascii="Arial" w:hAnsi="Arial" w:cs="Arial"/>
        </w:rPr>
      </w:pPr>
      <w:r w:rsidRPr="00E63A17">
        <w:rPr>
          <w:rFonts w:ascii="Arial" w:eastAsia="Helvetica" w:hAnsi="Arial" w:cs="Arial"/>
          <w:b/>
          <w:bCs/>
          <w:caps/>
          <w:color w:val="0A4149"/>
          <w:lang w:val="en-US"/>
        </w:rPr>
        <w:t xml:space="preserve">Real Benefits for Consumers and Society </w:t>
      </w:r>
    </w:p>
    <w:p w14:paraId="3884EA55" w14:textId="4097DE8F"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In our previous article, we explored the full range of benefits and real-world impacts that implementing a circular economy model could bring. If you missed it, we encourage you to take a look here: </w:t>
      </w:r>
      <w:hyperlink r:id="rId8">
        <w:r w:rsidRPr="00E63A17">
          <w:rPr>
            <w:rStyle w:val="Hipervnculo"/>
            <w:rFonts w:ascii="Arial" w:eastAsia="Encode Sans" w:hAnsi="Arial" w:cs="Arial"/>
            <w:color w:val="028287"/>
            <w:lang w:val="en-US"/>
          </w:rPr>
          <w:t>MAGNO CONSUMER INSIGHTS: The Circular Economy and Its Impact on Food Packaging in the EU – MAGNO-PROJECT</w:t>
        </w:r>
      </w:hyperlink>
    </w:p>
    <w:p w14:paraId="1417AB56" w14:textId="1AAF411F"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While circular packaging is often discussed in terms of sustainability, its impact goes far beyond that. </w:t>
      </w:r>
      <w:r w:rsidRPr="00E63A17">
        <w:rPr>
          <w:rFonts w:ascii="Arial" w:eastAsia="Encode Sans" w:hAnsi="Arial" w:cs="Arial"/>
          <w:b/>
          <w:bCs/>
          <w:color w:val="333333"/>
          <w:lang w:val="en-US"/>
        </w:rPr>
        <w:t>For consumers, adopting reusable or refillable packaging systems can lead to cost savings and improved convenience. For example, buying products in bulk or using refill stations reduces packaging waste and often lowers the overall price per unit.</w:t>
      </w:r>
      <w:r w:rsidRPr="00E63A17">
        <w:rPr>
          <w:rFonts w:ascii="Arial" w:eastAsia="Encode Sans" w:hAnsi="Arial" w:cs="Arial"/>
          <w:color w:val="333333"/>
          <w:lang w:val="en-US"/>
        </w:rPr>
        <w:t xml:space="preserve"> </w:t>
      </w:r>
    </w:p>
    <w:p w14:paraId="345BBE4D" w14:textId="10C39530"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Health-wise, shifting to circular packaging makes a lot of sense—many of the newer materials avoid the harmful substances that can leach from traditional plastic and end up in our food. But the impact doesn’t stop at what’s on our plates. Circular models also </w:t>
      </w:r>
      <w:r w:rsidRPr="00E63A17">
        <w:rPr>
          <w:rFonts w:ascii="Arial" w:eastAsia="Encode Sans" w:hAnsi="Arial" w:cs="Arial"/>
          <w:b/>
          <w:bCs/>
          <w:color w:val="333333"/>
          <w:lang w:val="en-US"/>
        </w:rPr>
        <w:t>give local economies a boost</w:t>
      </w:r>
      <w:r w:rsidRPr="00E63A17">
        <w:rPr>
          <w:rFonts w:ascii="Arial" w:eastAsia="Encode Sans" w:hAnsi="Arial" w:cs="Arial"/>
          <w:color w:val="333333"/>
          <w:lang w:val="en-US"/>
        </w:rPr>
        <w:t xml:space="preserve"> by creating opportunities in areas like repair, </w:t>
      </w:r>
      <w:r w:rsidRPr="00E63A17">
        <w:rPr>
          <w:rFonts w:ascii="Arial" w:eastAsia="Encode Sans" w:hAnsi="Arial" w:cs="Arial"/>
          <w:color w:val="333333"/>
          <w:lang w:val="en-US"/>
        </w:rPr>
        <w:lastRenderedPageBreak/>
        <w:t xml:space="preserve">logistics, and product cleaning. And let’s not forget innovation—businesses are rethinking everything from bottle returns to edible packaging. Most importantly, these changes empower consumers. Instead of just throwing things away, we become part of a system that keeps materials in play and builds stronger, more resilient communities. </w:t>
      </w:r>
    </w:p>
    <w:p w14:paraId="17A35347" w14:textId="1C8C074C"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b/>
          <w:bCs/>
          <w:color w:val="333333"/>
          <w:lang w:val="en-US"/>
        </w:rPr>
        <w:t xml:space="preserve">But how can this new model </w:t>
      </w:r>
      <w:proofErr w:type="gramStart"/>
      <w:r w:rsidRPr="00E63A17">
        <w:rPr>
          <w:rFonts w:ascii="Arial" w:eastAsia="Encode Sans" w:hAnsi="Arial" w:cs="Arial"/>
          <w:b/>
          <w:bCs/>
          <w:color w:val="333333"/>
          <w:lang w:val="en-US"/>
        </w:rPr>
        <w:t>actually be</w:t>
      </w:r>
      <w:proofErr w:type="gramEnd"/>
      <w:r w:rsidRPr="00E63A17">
        <w:rPr>
          <w:rFonts w:ascii="Arial" w:eastAsia="Encode Sans" w:hAnsi="Arial" w:cs="Arial"/>
          <w:b/>
          <w:bCs/>
          <w:color w:val="333333"/>
          <w:lang w:val="en-US"/>
        </w:rPr>
        <w:t xml:space="preserve"> applied in the real world?</w:t>
      </w:r>
      <w:r w:rsidRPr="00E63A17">
        <w:rPr>
          <w:rFonts w:ascii="Arial" w:eastAsia="Encode Sans" w:hAnsi="Arial" w:cs="Arial"/>
          <w:color w:val="333333"/>
          <w:lang w:val="en-US"/>
        </w:rPr>
        <w:t xml:space="preserve"> The good news </w:t>
      </w:r>
      <w:proofErr w:type="gramStart"/>
      <w:r w:rsidRPr="00E63A17">
        <w:rPr>
          <w:rFonts w:ascii="Arial" w:eastAsia="Encode Sans" w:hAnsi="Arial" w:cs="Arial"/>
          <w:color w:val="333333"/>
          <w:lang w:val="en-US"/>
        </w:rPr>
        <w:t>is,</w:t>
      </w:r>
      <w:proofErr w:type="gramEnd"/>
      <w:r w:rsidRPr="00E63A17">
        <w:rPr>
          <w:rFonts w:ascii="Arial" w:eastAsia="Encode Sans" w:hAnsi="Arial" w:cs="Arial"/>
          <w:color w:val="333333"/>
          <w:lang w:val="en-US"/>
        </w:rPr>
        <w:t xml:space="preserve"> we already have examples across Europe that show it’s not only </w:t>
      </w:r>
      <w:proofErr w:type="gramStart"/>
      <w:r w:rsidRPr="00E63A17">
        <w:rPr>
          <w:rFonts w:ascii="Arial" w:eastAsia="Encode Sans" w:hAnsi="Arial" w:cs="Arial"/>
          <w:color w:val="333333"/>
          <w:lang w:val="en-US"/>
        </w:rPr>
        <w:t>possible, but</w:t>
      </w:r>
      <w:proofErr w:type="gramEnd"/>
      <w:r w:rsidRPr="00E63A17">
        <w:rPr>
          <w:rFonts w:ascii="Arial" w:eastAsia="Encode Sans" w:hAnsi="Arial" w:cs="Arial"/>
          <w:color w:val="333333"/>
          <w:lang w:val="en-US"/>
        </w:rPr>
        <w:t xml:space="preserve"> already happening. Let’s </w:t>
      </w:r>
      <w:proofErr w:type="gramStart"/>
      <w:r w:rsidRPr="00E63A17">
        <w:rPr>
          <w:rFonts w:ascii="Arial" w:eastAsia="Encode Sans" w:hAnsi="Arial" w:cs="Arial"/>
          <w:color w:val="333333"/>
          <w:lang w:val="en-US"/>
        </w:rPr>
        <w:t>take a look</w:t>
      </w:r>
      <w:proofErr w:type="gramEnd"/>
      <w:r w:rsidRPr="00E63A17">
        <w:rPr>
          <w:rFonts w:ascii="Arial" w:eastAsia="Encode Sans" w:hAnsi="Arial" w:cs="Arial"/>
          <w:color w:val="333333"/>
          <w:lang w:val="en-US"/>
        </w:rPr>
        <w:t xml:space="preserve"> at some of the ways circular economy principles are being put into action through packaging solutions. </w:t>
      </w:r>
    </w:p>
    <w:p w14:paraId="76344B78" w14:textId="0DB04995"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425ACF4A" w14:textId="22520E24" w:rsidR="74B59FD0" w:rsidRPr="00E63A17" w:rsidRDefault="7FBC7CC8" w:rsidP="7B4ED9F9">
      <w:pPr>
        <w:pStyle w:val="Ttulo3"/>
        <w:shd w:val="clear" w:color="auto" w:fill="FFFFFF" w:themeFill="background1"/>
        <w:spacing w:before="0" w:after="150" w:line="276" w:lineRule="auto"/>
        <w:jc w:val="both"/>
        <w:rPr>
          <w:rFonts w:ascii="Arial" w:hAnsi="Arial" w:cs="Arial"/>
        </w:rPr>
      </w:pPr>
      <w:r w:rsidRPr="00E63A17">
        <w:rPr>
          <w:rFonts w:ascii="Arial" w:eastAsia="Helvetica" w:hAnsi="Arial" w:cs="Arial"/>
          <w:b/>
          <w:bCs/>
          <w:caps/>
          <w:color w:val="0A4149"/>
          <w:lang w:val="en-US"/>
        </w:rPr>
        <w:t xml:space="preserve">Circular Packaging in Practice: Real and Emerging Examples </w:t>
      </w:r>
    </w:p>
    <w:p w14:paraId="09785D56" w14:textId="0BE418CA"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Here are some concrete examples—both in use and conceptual—that illustrate how circular economy principles are being applied to packaging. </w:t>
      </w:r>
    </w:p>
    <w:p w14:paraId="28D68BD9" w14:textId="4AB88B09"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To make this section easier to follow, we’ve ordered </w:t>
      </w:r>
      <w:proofErr w:type="gramStart"/>
      <w:r w:rsidRPr="00E63A17">
        <w:rPr>
          <w:rFonts w:ascii="Arial" w:eastAsia="Encode Sans" w:hAnsi="Arial" w:cs="Arial"/>
          <w:color w:val="333333"/>
          <w:lang w:val="en-US"/>
        </w:rPr>
        <w:t>the examples</w:t>
      </w:r>
      <w:proofErr w:type="gramEnd"/>
      <w:r w:rsidRPr="00E63A17">
        <w:rPr>
          <w:rFonts w:ascii="Arial" w:eastAsia="Encode Sans" w:hAnsi="Arial" w:cs="Arial"/>
          <w:color w:val="333333"/>
          <w:lang w:val="en-US"/>
        </w:rPr>
        <w:t xml:space="preserve"> from the most familiar (which you might have already encountered) to more innovative, emerging solutions that offer a glimpse into the future of circular packaging. </w:t>
      </w:r>
    </w:p>
    <w:p w14:paraId="0F2729AF" w14:textId="23A298B7"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30B0EB36" w14:textId="3D87F5F1" w:rsidR="74B59FD0" w:rsidRPr="00E63A17" w:rsidRDefault="7FBC7CC8" w:rsidP="7B4ED9F9">
      <w:pPr>
        <w:pStyle w:val="Ttulo4"/>
        <w:shd w:val="clear" w:color="auto" w:fill="FFFFFF" w:themeFill="background1"/>
        <w:spacing w:before="0" w:after="150" w:line="276" w:lineRule="auto"/>
        <w:jc w:val="both"/>
        <w:rPr>
          <w:rFonts w:ascii="Arial" w:hAnsi="Arial" w:cs="Arial"/>
          <w:sz w:val="28"/>
          <w:szCs w:val="28"/>
        </w:rPr>
      </w:pPr>
      <w:r w:rsidRPr="00E63A17">
        <w:rPr>
          <w:rFonts w:ascii="Arial" w:eastAsia="Helvetica" w:hAnsi="Arial" w:cs="Arial"/>
          <w:b/>
          <w:bCs/>
          <w:i w:val="0"/>
          <w:iCs w:val="0"/>
          <w:caps/>
          <w:color w:val="0A4149"/>
          <w:sz w:val="28"/>
          <w:szCs w:val="28"/>
          <w:lang w:val="en-US"/>
        </w:rPr>
        <w:t xml:space="preserve">Refill Stations in Retail Chains (EU-wide) </w:t>
      </w:r>
    </w:p>
    <w:p w14:paraId="4FFF3895" w14:textId="756DA688"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Retail giants like Carrefour are rolling out refill stations in countries such as France and Spain, </w:t>
      </w:r>
      <w:r w:rsidRPr="00E63A17">
        <w:rPr>
          <w:rFonts w:ascii="Arial" w:eastAsia="Encode Sans" w:hAnsi="Arial" w:cs="Arial"/>
          <w:b/>
          <w:bCs/>
          <w:color w:val="333333"/>
          <w:lang w:val="en-US"/>
        </w:rPr>
        <w:t>allowing customers to bring their own containers to purchase goods like cereals, pasta, and detergents</w:t>
      </w:r>
      <w:r w:rsidRPr="00E63A17">
        <w:rPr>
          <w:rFonts w:ascii="Arial" w:eastAsia="Encode Sans" w:hAnsi="Arial" w:cs="Arial"/>
          <w:color w:val="333333"/>
          <w:lang w:val="en-US"/>
        </w:rPr>
        <w:t xml:space="preserve">. Similarly, UK-based pilot programs are extending this practice across grocery and household care sectors. These stations not only reduce single-use plastic packaging but also promote more sustainable consumption habits. </w:t>
      </w:r>
    </w:p>
    <w:p w14:paraId="2D3C1D3C" w14:textId="44BF6CE0"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Besides environmental benefits, they offer economic incentives:</w:t>
      </w:r>
      <w:r w:rsidRPr="00E63A17">
        <w:rPr>
          <w:rFonts w:ascii="Arial" w:eastAsia="Encode Sans" w:hAnsi="Arial" w:cs="Arial"/>
          <w:b/>
          <w:bCs/>
          <w:color w:val="333333"/>
          <w:lang w:val="en-US"/>
        </w:rPr>
        <w:t xml:space="preserve"> customers often pay less per unit by avoiding branded packaging.</w:t>
      </w:r>
      <w:r w:rsidRPr="00E63A17">
        <w:rPr>
          <w:rFonts w:ascii="Arial" w:eastAsia="Encode Sans" w:hAnsi="Arial" w:cs="Arial"/>
          <w:color w:val="333333"/>
          <w:lang w:val="en-US"/>
        </w:rPr>
        <w:t xml:space="preserve"> The growing popularity of these systems reflects increasing consumer demand for zero-waste options and government-backed initiatives supporting packaging reduction goals. </w:t>
      </w:r>
      <w:hyperlink r:id="rId9">
        <w:r w:rsidRPr="00E63A17">
          <w:rPr>
            <w:rStyle w:val="Hipervnculo"/>
            <w:rFonts w:ascii="Arial" w:eastAsia="Encode Sans" w:hAnsi="Arial" w:cs="Arial"/>
            <w:color w:val="028287"/>
            <w:lang w:val="en-US"/>
          </w:rPr>
          <w:t xml:space="preserve">(«Universal Registration Document 2024 Annual Financial </w:t>
        </w:r>
        <w:proofErr w:type="gramStart"/>
        <w:r w:rsidRPr="00E63A17">
          <w:rPr>
            <w:rStyle w:val="Hipervnculo"/>
            <w:rFonts w:ascii="Arial" w:eastAsia="Encode Sans" w:hAnsi="Arial" w:cs="Arial"/>
            <w:color w:val="028287"/>
            <w:lang w:val="en-US"/>
          </w:rPr>
          <w:t>Report»,</w:t>
        </w:r>
        <w:proofErr w:type="gramEnd"/>
        <w:r w:rsidRPr="00E63A17">
          <w:rPr>
            <w:rStyle w:val="Hipervnculo"/>
            <w:rFonts w:ascii="Arial" w:eastAsia="Encode Sans" w:hAnsi="Arial" w:cs="Arial"/>
            <w:color w:val="028287"/>
            <w:lang w:val="en-US"/>
          </w:rPr>
          <w:t xml:space="preserve"> 2024)</w:t>
        </w:r>
      </w:hyperlink>
      <w:r w:rsidRPr="00E63A17">
        <w:rPr>
          <w:rFonts w:ascii="Arial" w:eastAsia="Encode Sans" w:hAnsi="Arial" w:cs="Arial"/>
          <w:color w:val="333333"/>
          <w:lang w:val="en-US"/>
        </w:rPr>
        <w:t xml:space="preserve"> </w:t>
      </w:r>
    </w:p>
    <w:p w14:paraId="0E2C4285" w14:textId="0AAC79C7"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7F7C0280" w14:textId="3307BDFB"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hAnsi="Arial" w:cs="Arial"/>
          <w:noProof/>
        </w:rPr>
        <w:lastRenderedPageBreak/>
        <w:drawing>
          <wp:inline distT="0" distB="0" distL="0" distR="0" wp14:anchorId="12D8AAEA" wp14:editId="074A9F4E">
            <wp:extent cx="4229100" cy="2828925"/>
            <wp:effectExtent l="0" t="0" r="0" b="0"/>
            <wp:docPr id="2009552538" name="drawing" title="GreenDepot - Cleaning Products refill station | Dave Pinter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52538" name="Picture 2009552538"/>
                    <pic:cNvPicPr/>
                  </pic:nvPicPr>
                  <pic:blipFill>
                    <a:blip r:embed="rId10">
                      <a:extLst>
                        <a:ext uri="{28A0092B-C50C-407E-A947-70E740481C1C}">
                          <a14:useLocalDpi xmlns:a14="http://schemas.microsoft.com/office/drawing/2010/main"/>
                        </a:ext>
                      </a:extLst>
                    </a:blip>
                    <a:stretch>
                      <a:fillRect/>
                    </a:stretch>
                  </pic:blipFill>
                  <pic:spPr>
                    <a:xfrm>
                      <a:off x="0" y="0"/>
                      <a:ext cx="4229100" cy="2828925"/>
                    </a:xfrm>
                    <a:prstGeom prst="rect">
                      <a:avLst/>
                    </a:prstGeom>
                  </pic:spPr>
                </pic:pic>
              </a:graphicData>
            </a:graphic>
          </wp:inline>
        </w:drawing>
      </w:r>
    </w:p>
    <w:p w14:paraId="03ECBE39" w14:textId="7B6A9D83" w:rsidR="74B59FD0" w:rsidRPr="00E63A17" w:rsidRDefault="7FBC7CC8" w:rsidP="7B4ED9F9">
      <w:pPr>
        <w:shd w:val="clear" w:color="auto" w:fill="FFFFFF" w:themeFill="background1"/>
        <w:spacing w:after="150" w:line="276" w:lineRule="auto"/>
        <w:jc w:val="both"/>
        <w:rPr>
          <w:rFonts w:ascii="Arial" w:hAnsi="Arial" w:cs="Arial"/>
          <w:sz w:val="20"/>
          <w:szCs w:val="20"/>
        </w:rPr>
      </w:pPr>
      <w:r w:rsidRPr="00E63A17">
        <w:rPr>
          <w:rFonts w:ascii="Arial" w:eastAsia="Encode Sans" w:hAnsi="Arial" w:cs="Arial"/>
          <w:i/>
          <w:iCs/>
          <w:color w:val="333333"/>
          <w:sz w:val="20"/>
          <w:szCs w:val="20"/>
          <w:lang w:val="en-US"/>
        </w:rPr>
        <w:t>Photo by</w:t>
      </w:r>
      <w:hyperlink r:id="rId11">
        <w:r w:rsidRPr="00E63A17">
          <w:rPr>
            <w:rStyle w:val="Hipervnculo"/>
            <w:rFonts w:ascii="Arial" w:eastAsia="Encode Sans" w:hAnsi="Arial" w:cs="Arial"/>
            <w:i/>
            <w:iCs/>
            <w:color w:val="028287"/>
            <w:sz w:val="20"/>
            <w:szCs w:val="20"/>
            <w:lang w:val="en-US"/>
          </w:rPr>
          <w:t xml:space="preserve"> Dave Pinter (Flickr)</w:t>
        </w:r>
      </w:hyperlink>
      <w:r w:rsidRPr="00E63A17">
        <w:rPr>
          <w:rFonts w:ascii="Arial" w:eastAsia="Encode Sans" w:hAnsi="Arial" w:cs="Arial"/>
          <w:i/>
          <w:iCs/>
          <w:color w:val="333333"/>
          <w:sz w:val="20"/>
          <w:szCs w:val="20"/>
          <w:lang w:val="en-US"/>
        </w:rPr>
        <w:t>, licensed under CC BY-NC-ND 2.0</w:t>
      </w:r>
    </w:p>
    <w:p w14:paraId="7E33DA15" w14:textId="352BEDCA"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4BED856F" w14:textId="5D9DF9F9" w:rsidR="74B59FD0" w:rsidRPr="00E63A17" w:rsidRDefault="7FBC7CC8" w:rsidP="7B4ED9F9">
      <w:pPr>
        <w:pStyle w:val="Ttulo4"/>
        <w:shd w:val="clear" w:color="auto" w:fill="FFFFFF" w:themeFill="background1"/>
        <w:spacing w:before="0" w:after="150" w:line="276" w:lineRule="auto"/>
        <w:jc w:val="both"/>
        <w:rPr>
          <w:rFonts w:ascii="Arial" w:hAnsi="Arial" w:cs="Arial"/>
          <w:sz w:val="28"/>
          <w:szCs w:val="28"/>
        </w:rPr>
      </w:pPr>
      <w:r w:rsidRPr="00E63A17">
        <w:rPr>
          <w:rFonts w:ascii="Arial" w:eastAsia="Helvetica" w:hAnsi="Arial" w:cs="Arial"/>
          <w:b/>
          <w:bCs/>
          <w:i w:val="0"/>
          <w:iCs w:val="0"/>
          <w:caps/>
          <w:color w:val="0A4149"/>
          <w:sz w:val="28"/>
          <w:szCs w:val="28"/>
          <w:lang w:val="en-US"/>
        </w:rPr>
        <w:t xml:space="preserve">Deposit Return Systems (Denmark) </w:t>
      </w:r>
    </w:p>
    <w:p w14:paraId="31291B14" w14:textId="5F62CB5C"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Denmark’s deposit return system (DRS) is a standout example of how circular models can be scaled nationally. Managed by Dansk Retursystem, the system </w:t>
      </w:r>
      <w:r w:rsidRPr="00E63A17">
        <w:rPr>
          <w:rFonts w:ascii="Arial" w:eastAsia="Encode Sans" w:hAnsi="Arial" w:cs="Arial"/>
          <w:b/>
          <w:bCs/>
          <w:color w:val="333333"/>
          <w:lang w:val="en-US"/>
        </w:rPr>
        <w:t>achieved a record-high return rate of 93% in 2024, collecting more than 2.1 billion bottles and cans</w:t>
      </w:r>
      <w:r w:rsidRPr="00E63A17">
        <w:rPr>
          <w:rFonts w:ascii="Arial" w:eastAsia="Encode Sans" w:hAnsi="Arial" w:cs="Arial"/>
          <w:color w:val="333333"/>
          <w:lang w:val="en-US"/>
        </w:rPr>
        <w:t xml:space="preserve">. Consumers pay a small deposit when buying bottled drinks and receive it back upon returning the containers. </w:t>
      </w:r>
      <w:hyperlink r:id="rId12">
        <w:r w:rsidRPr="00E63A17">
          <w:rPr>
            <w:rStyle w:val="Hipervnculo"/>
            <w:rFonts w:ascii="Arial" w:eastAsia="Encode Sans" w:hAnsi="Arial" w:cs="Arial"/>
            <w:color w:val="028287"/>
            <w:lang w:val="en-US"/>
          </w:rPr>
          <w:t>(Strinati, 2025)</w:t>
        </w:r>
      </w:hyperlink>
      <w:r w:rsidRPr="00E63A17">
        <w:rPr>
          <w:rFonts w:ascii="Arial" w:eastAsia="Encode Sans" w:hAnsi="Arial" w:cs="Arial"/>
          <w:color w:val="333333"/>
          <w:lang w:val="en-US"/>
        </w:rPr>
        <w:t xml:space="preserve"> </w:t>
      </w:r>
    </w:p>
    <w:p w14:paraId="251B6C5F" w14:textId="730A64EB"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This not only keeps valuable materials in circulation but also cuts emissions significantly.</w:t>
      </w:r>
      <w:r w:rsidRPr="00E63A17">
        <w:rPr>
          <w:rFonts w:ascii="Arial" w:eastAsia="Encode Sans" w:hAnsi="Arial" w:cs="Arial"/>
          <w:b/>
          <w:bCs/>
          <w:color w:val="333333"/>
          <w:lang w:val="en-US"/>
        </w:rPr>
        <w:t xml:space="preserve"> In 2021 alone, the system reduced CO</w:t>
      </w:r>
      <w:r w:rsidRPr="00E63A17">
        <w:rPr>
          <w:rFonts w:ascii="Cambria Math" w:eastAsia="Encode Sans" w:hAnsi="Cambria Math" w:cs="Cambria Math"/>
          <w:b/>
          <w:bCs/>
          <w:color w:val="333333"/>
          <w:lang w:val="en-US"/>
        </w:rPr>
        <w:t>₂</w:t>
      </w:r>
      <w:r w:rsidRPr="00E63A17">
        <w:rPr>
          <w:rFonts w:ascii="Arial" w:eastAsia="Encode Sans" w:hAnsi="Arial" w:cs="Arial"/>
          <w:b/>
          <w:bCs/>
          <w:color w:val="333333"/>
          <w:lang w:val="en-US"/>
        </w:rPr>
        <w:t xml:space="preserve"> emissions by 210,000 tonnes through closed-loop recycling</w:t>
      </w:r>
      <w:r w:rsidRPr="00E63A17">
        <w:rPr>
          <w:rFonts w:ascii="Arial" w:eastAsia="Encode Sans" w:hAnsi="Arial" w:cs="Arial"/>
          <w:color w:val="333333"/>
          <w:lang w:val="en-US"/>
        </w:rPr>
        <w:t xml:space="preserve"> that transforms returned containers into new ones. Beyond environmental savings, the DRS promotes a culture of recycling, with Danes widely engaged from an early age due to its ease and financial incentive. </w:t>
      </w:r>
      <w:hyperlink r:id="rId13">
        <w:r w:rsidRPr="00E63A17">
          <w:rPr>
            <w:rStyle w:val="Hipervnculo"/>
            <w:rFonts w:ascii="Arial" w:eastAsia="Encode Sans" w:hAnsi="Arial" w:cs="Arial"/>
            <w:color w:val="028287"/>
            <w:lang w:val="en-US"/>
          </w:rPr>
          <w:t>(</w:t>
        </w:r>
        <w:r w:rsidRPr="00E63A17">
          <w:rPr>
            <w:rStyle w:val="Hipervnculo"/>
            <w:rFonts w:ascii="Arial" w:eastAsia="Encode Sans" w:hAnsi="Arial" w:cs="Arial"/>
            <w:i/>
            <w:iCs/>
            <w:color w:val="028287"/>
            <w:lang w:val="en-US"/>
          </w:rPr>
          <w:t>The Danish Deposit &amp; Return System for Recycling Drink Cans and Bottles | State of Green</w:t>
        </w:r>
        <w:r w:rsidRPr="00E63A17">
          <w:rPr>
            <w:rStyle w:val="Hipervnculo"/>
            <w:rFonts w:ascii="Arial" w:eastAsia="Encode Sans" w:hAnsi="Arial" w:cs="Arial"/>
            <w:color w:val="028287"/>
            <w:lang w:val="en-US"/>
          </w:rPr>
          <w:t>, 2025</w:t>
        </w:r>
      </w:hyperlink>
      <w:r w:rsidRPr="00E63A17">
        <w:rPr>
          <w:rFonts w:ascii="Arial" w:eastAsia="Encode Sans" w:hAnsi="Arial" w:cs="Arial"/>
          <w:color w:val="333333"/>
          <w:lang w:val="en-US"/>
        </w:rPr>
        <w:t xml:space="preserve">) </w:t>
      </w:r>
    </w:p>
    <w:p w14:paraId="2C73DADD" w14:textId="4AA5ECDF"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03D42E2E" w14:textId="69217AC0"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hAnsi="Arial" w:cs="Arial"/>
          <w:noProof/>
        </w:rPr>
        <w:lastRenderedPageBreak/>
        <w:drawing>
          <wp:inline distT="0" distB="0" distL="0" distR="0" wp14:anchorId="59337090" wp14:editId="697260B5">
            <wp:extent cx="5391150" cy="4038600"/>
            <wp:effectExtent l="0" t="0" r="0" b="0"/>
            <wp:docPr id="180699790" name="drawing" title="File:Reverse vending machine for the NSW Container Deposit Scheme at the Kooringal Mall.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790" name="Picture 180699790"/>
                    <pic:cNvPicPr/>
                  </pic:nvPicPr>
                  <pic:blipFill>
                    <a:blip r:embed="rId14">
                      <a:extLst>
                        <a:ext uri="{28A0092B-C50C-407E-A947-70E740481C1C}">
                          <a14:useLocalDpi xmlns:a14="http://schemas.microsoft.com/office/drawing/2010/main"/>
                        </a:ext>
                      </a:extLst>
                    </a:blip>
                    <a:stretch>
                      <a:fillRect/>
                    </a:stretch>
                  </pic:blipFill>
                  <pic:spPr>
                    <a:xfrm>
                      <a:off x="0" y="0"/>
                      <a:ext cx="5391150" cy="4038600"/>
                    </a:xfrm>
                    <a:prstGeom prst="rect">
                      <a:avLst/>
                    </a:prstGeom>
                  </pic:spPr>
                </pic:pic>
              </a:graphicData>
            </a:graphic>
          </wp:inline>
        </w:drawing>
      </w:r>
    </w:p>
    <w:p w14:paraId="30509940" w14:textId="56368F92" w:rsidR="74B59FD0" w:rsidRPr="00E63A17" w:rsidRDefault="7FBC7CC8" w:rsidP="7B4ED9F9">
      <w:pPr>
        <w:shd w:val="clear" w:color="auto" w:fill="FFFFFF" w:themeFill="background1"/>
        <w:spacing w:after="150" w:line="276" w:lineRule="auto"/>
        <w:jc w:val="both"/>
        <w:rPr>
          <w:rFonts w:ascii="Arial" w:hAnsi="Arial" w:cs="Arial"/>
          <w:sz w:val="20"/>
          <w:szCs w:val="20"/>
        </w:rPr>
      </w:pPr>
      <w:r w:rsidRPr="00E63A17">
        <w:rPr>
          <w:rFonts w:ascii="Arial" w:eastAsia="Encode Sans" w:hAnsi="Arial" w:cs="Arial"/>
          <w:i/>
          <w:iCs/>
          <w:color w:val="333333"/>
          <w:sz w:val="20"/>
          <w:szCs w:val="20"/>
          <w:lang w:val="en-US"/>
        </w:rPr>
        <w:t xml:space="preserve">Photo by </w:t>
      </w:r>
      <w:hyperlink r:id="rId15">
        <w:r w:rsidRPr="00E63A17">
          <w:rPr>
            <w:rStyle w:val="Hipervnculo"/>
            <w:rFonts w:ascii="Arial" w:eastAsia="Encode Sans" w:hAnsi="Arial" w:cs="Arial"/>
            <w:i/>
            <w:iCs/>
            <w:color w:val="028287"/>
            <w:sz w:val="20"/>
            <w:szCs w:val="20"/>
            <w:lang w:val="en-US"/>
          </w:rPr>
          <w:t>Wikimedia Commons</w:t>
        </w:r>
      </w:hyperlink>
      <w:r w:rsidRPr="00E63A17">
        <w:rPr>
          <w:rFonts w:ascii="Arial" w:eastAsia="Encode Sans" w:hAnsi="Arial" w:cs="Arial"/>
          <w:i/>
          <w:iCs/>
          <w:color w:val="333333"/>
          <w:sz w:val="20"/>
          <w:szCs w:val="20"/>
          <w:lang w:val="en-US"/>
        </w:rPr>
        <w:t>, licensed under CC BY-SA 3.0</w:t>
      </w:r>
    </w:p>
    <w:p w14:paraId="48DD57F5" w14:textId="01AB1E97"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4F612836" w14:textId="4B72B1D3" w:rsidR="74B59FD0" w:rsidRPr="00E63A17" w:rsidRDefault="7FBC7CC8" w:rsidP="7B4ED9F9">
      <w:pPr>
        <w:pStyle w:val="Ttulo4"/>
        <w:shd w:val="clear" w:color="auto" w:fill="FFFFFF" w:themeFill="background1"/>
        <w:spacing w:before="0" w:after="150" w:line="276" w:lineRule="auto"/>
        <w:jc w:val="both"/>
        <w:rPr>
          <w:rFonts w:ascii="Arial" w:hAnsi="Arial" w:cs="Arial"/>
          <w:sz w:val="28"/>
          <w:szCs w:val="28"/>
        </w:rPr>
      </w:pPr>
      <w:r w:rsidRPr="00E63A17">
        <w:rPr>
          <w:rFonts w:ascii="Arial" w:eastAsia="Helvetica" w:hAnsi="Arial" w:cs="Arial"/>
          <w:b/>
          <w:bCs/>
          <w:i w:val="0"/>
          <w:iCs w:val="0"/>
          <w:caps/>
          <w:color w:val="0A4149"/>
          <w:sz w:val="28"/>
          <w:szCs w:val="28"/>
          <w:lang w:val="en-US"/>
        </w:rPr>
        <w:t xml:space="preserve">Zero-Waste Supermarkets (France) </w:t>
      </w:r>
    </w:p>
    <w:p w14:paraId="52C075E8" w14:textId="7CECE168"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The French supermarket chain “Tout Nu” offers a zero-packaging shopping experience where</w:t>
      </w:r>
      <w:r w:rsidRPr="00E63A17">
        <w:rPr>
          <w:rFonts w:ascii="Arial" w:eastAsia="Encode Sans" w:hAnsi="Arial" w:cs="Arial"/>
          <w:b/>
          <w:bCs/>
          <w:color w:val="333333"/>
          <w:lang w:val="en-US"/>
        </w:rPr>
        <w:t xml:space="preserve"> customers bring their own containers or borrow reusable glass jars provided by the store</w:t>
      </w:r>
      <w:r w:rsidRPr="00E63A17">
        <w:rPr>
          <w:rFonts w:ascii="Arial" w:eastAsia="Encode Sans" w:hAnsi="Arial" w:cs="Arial"/>
          <w:color w:val="333333"/>
          <w:lang w:val="en-US"/>
        </w:rPr>
        <w:t>. This model eliminates disposable packaging at the point of sale and incentivizes reuse through a small refund scheme. Each week, the store successfully manages the reuse of around 2,500 food containers (</w:t>
      </w:r>
      <w:hyperlink r:id="rId16">
        <w:r w:rsidRPr="00E63A17">
          <w:rPr>
            <w:rStyle w:val="Hipervnculo"/>
            <w:rFonts w:ascii="Arial" w:eastAsia="Encode Sans" w:hAnsi="Arial" w:cs="Arial"/>
            <w:color w:val="028287"/>
            <w:lang w:val="en-US"/>
          </w:rPr>
          <w:t xml:space="preserve">Seas </w:t>
        </w:r>
        <w:proofErr w:type="gramStart"/>
        <w:r w:rsidRPr="00E63A17">
          <w:rPr>
            <w:rStyle w:val="Hipervnculo"/>
            <w:rFonts w:ascii="Arial" w:eastAsia="Encode Sans" w:hAnsi="Arial" w:cs="Arial"/>
            <w:color w:val="028287"/>
            <w:lang w:val="en-US"/>
          </w:rPr>
          <w:t>At</w:t>
        </w:r>
        <w:proofErr w:type="gramEnd"/>
        <w:r w:rsidRPr="00E63A17">
          <w:rPr>
            <w:rStyle w:val="Hipervnculo"/>
            <w:rFonts w:ascii="Arial" w:eastAsia="Encode Sans" w:hAnsi="Arial" w:cs="Arial"/>
            <w:color w:val="028287"/>
            <w:lang w:val="en-US"/>
          </w:rPr>
          <w:t xml:space="preserve"> Risk, 2021</w:t>
        </w:r>
      </w:hyperlink>
      <w:r w:rsidRPr="00E63A17">
        <w:rPr>
          <w:rFonts w:ascii="Arial" w:eastAsia="Encode Sans" w:hAnsi="Arial" w:cs="Arial"/>
          <w:color w:val="333333"/>
          <w:lang w:val="en-US"/>
        </w:rPr>
        <w:t xml:space="preserve">). </w:t>
      </w:r>
    </w:p>
    <w:p w14:paraId="5E780419" w14:textId="2E62254F"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Beyond reducing plastic waste, “Tout Nu” </w:t>
      </w:r>
      <w:r w:rsidRPr="00E63A17">
        <w:rPr>
          <w:rFonts w:ascii="Arial" w:eastAsia="Encode Sans" w:hAnsi="Arial" w:cs="Arial"/>
          <w:b/>
          <w:bCs/>
          <w:color w:val="333333"/>
          <w:lang w:val="en-US"/>
        </w:rPr>
        <w:t>supports local economies</w:t>
      </w:r>
      <w:r w:rsidRPr="00E63A17">
        <w:rPr>
          <w:rFonts w:ascii="Arial" w:eastAsia="Encode Sans" w:hAnsi="Arial" w:cs="Arial"/>
          <w:color w:val="333333"/>
          <w:lang w:val="en-US"/>
        </w:rPr>
        <w:t xml:space="preserve">—according to “Le Super Tout Nu”, the zero-waste supermarket that pioneered this model, 60% of its products come from 400 regional producers located within 100 km </w:t>
      </w:r>
      <w:hyperlink r:id="rId17">
        <w:r w:rsidRPr="00E63A17">
          <w:rPr>
            <w:rStyle w:val="Hipervnculo"/>
            <w:rFonts w:ascii="Arial" w:eastAsia="Encode Sans" w:hAnsi="Arial" w:cs="Arial"/>
            <w:color w:val="028287"/>
            <w:lang w:val="en-US"/>
          </w:rPr>
          <w:t>(The Editor, 2024)</w:t>
        </w:r>
      </w:hyperlink>
      <w:r w:rsidRPr="00E63A17">
        <w:rPr>
          <w:rFonts w:ascii="Arial" w:eastAsia="Encode Sans" w:hAnsi="Arial" w:cs="Arial"/>
          <w:color w:val="333333"/>
          <w:lang w:val="en-US"/>
        </w:rPr>
        <w:t>. The model reflects a shift in consumer values:</w:t>
      </w:r>
      <w:r w:rsidRPr="00E63A17">
        <w:rPr>
          <w:rFonts w:ascii="Arial" w:eastAsia="Encode Sans" w:hAnsi="Arial" w:cs="Arial"/>
          <w:b/>
          <w:bCs/>
          <w:color w:val="333333"/>
          <w:lang w:val="en-US"/>
        </w:rPr>
        <w:t xml:space="preserve"> according to a 2020 survey, 42% of French consumers are willing to pay more for sustainably packaged goods</w:t>
      </w:r>
      <w:r w:rsidRPr="00E63A17">
        <w:rPr>
          <w:rFonts w:ascii="Arial" w:eastAsia="Encode Sans" w:hAnsi="Arial" w:cs="Arial"/>
          <w:color w:val="333333"/>
          <w:lang w:val="en-US"/>
        </w:rPr>
        <w:t xml:space="preserve"> (</w:t>
      </w:r>
      <w:hyperlink r:id="rId18">
        <w:r w:rsidRPr="00E63A17">
          <w:rPr>
            <w:rStyle w:val="Hipervnculo"/>
            <w:rFonts w:ascii="Arial" w:eastAsia="Encode Sans" w:hAnsi="Arial" w:cs="Arial"/>
            <w:color w:val="028287"/>
            <w:lang w:val="en-US"/>
          </w:rPr>
          <w:t>Statista, 2020</w:t>
        </w:r>
      </w:hyperlink>
      <w:r w:rsidRPr="00E63A17">
        <w:rPr>
          <w:rFonts w:ascii="Arial" w:eastAsia="Encode Sans" w:hAnsi="Arial" w:cs="Arial"/>
          <w:color w:val="333333"/>
          <w:lang w:val="en-US"/>
        </w:rPr>
        <w:t>). With the zero-waste packaging market in France expected to reach over $14.8 billion by 2030 (</w:t>
      </w:r>
      <w:hyperlink r:id="rId19">
        <w:r w:rsidRPr="00E63A17">
          <w:rPr>
            <w:rStyle w:val="Hipervnculo"/>
            <w:rFonts w:ascii="Arial" w:eastAsia="Encode Sans" w:hAnsi="Arial" w:cs="Arial"/>
            <w:color w:val="028287"/>
            <w:lang w:val="en-US"/>
          </w:rPr>
          <w:t>Grand View Research, 2023</w:t>
        </w:r>
      </w:hyperlink>
      <w:r w:rsidRPr="00E63A17">
        <w:rPr>
          <w:rFonts w:ascii="Arial" w:eastAsia="Encode Sans" w:hAnsi="Arial" w:cs="Arial"/>
          <w:color w:val="333333"/>
          <w:lang w:val="en-US"/>
        </w:rPr>
        <w:t xml:space="preserve">), it’s clear this trend is here to stay. </w:t>
      </w:r>
    </w:p>
    <w:p w14:paraId="7EFD1E6B" w14:textId="1CA2D4AA"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1827D9FC" w14:textId="5E71D3E0"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hAnsi="Arial" w:cs="Arial"/>
          <w:noProof/>
        </w:rPr>
        <w:lastRenderedPageBreak/>
        <w:drawing>
          <wp:inline distT="0" distB="0" distL="0" distR="0" wp14:anchorId="1C49A9B3" wp14:editId="7D5B865A">
            <wp:extent cx="5724525" cy="3381375"/>
            <wp:effectExtent l="0" t="0" r="0" b="0"/>
            <wp:docPr id="423093485" name="drawing" title="Best Zero-waste Shops in the UK | Bower Colle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093485" name="Picture 423093485"/>
                    <pic:cNvPicPr/>
                  </pic:nvPicPr>
                  <pic:blipFill>
                    <a:blip r:embed="rId20">
                      <a:extLst>
                        <a:ext uri="{28A0092B-C50C-407E-A947-70E740481C1C}">
                          <a14:useLocalDpi xmlns:a14="http://schemas.microsoft.com/office/drawing/2010/main"/>
                        </a:ext>
                      </a:extLst>
                    </a:blip>
                    <a:stretch>
                      <a:fillRect/>
                    </a:stretch>
                  </pic:blipFill>
                  <pic:spPr>
                    <a:xfrm>
                      <a:off x="0" y="0"/>
                      <a:ext cx="5724525" cy="3381375"/>
                    </a:xfrm>
                    <a:prstGeom prst="rect">
                      <a:avLst/>
                    </a:prstGeom>
                  </pic:spPr>
                </pic:pic>
              </a:graphicData>
            </a:graphic>
          </wp:inline>
        </w:drawing>
      </w:r>
    </w:p>
    <w:p w14:paraId="527925E1" w14:textId="3409D541" w:rsidR="74B59FD0" w:rsidRPr="00E63A17" w:rsidRDefault="7FBC7CC8" w:rsidP="7B4ED9F9">
      <w:pPr>
        <w:shd w:val="clear" w:color="auto" w:fill="FFFFFF" w:themeFill="background1"/>
        <w:spacing w:after="150" w:line="276" w:lineRule="auto"/>
        <w:jc w:val="both"/>
        <w:rPr>
          <w:rFonts w:ascii="Arial" w:hAnsi="Arial" w:cs="Arial"/>
          <w:sz w:val="20"/>
          <w:szCs w:val="20"/>
        </w:rPr>
      </w:pPr>
      <w:r w:rsidRPr="00E63A17">
        <w:rPr>
          <w:rFonts w:ascii="Arial" w:eastAsia="Encode Sans" w:hAnsi="Arial" w:cs="Arial"/>
          <w:i/>
          <w:iCs/>
          <w:color w:val="333333"/>
          <w:sz w:val="20"/>
          <w:szCs w:val="20"/>
          <w:lang w:val="en-US"/>
        </w:rPr>
        <w:t>Photo by Bower Collective, licensed under CC BY-NC 4.0</w:t>
      </w:r>
    </w:p>
    <w:p w14:paraId="1B9E30D3" w14:textId="785E826B"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3AA248EB" w14:textId="0C135EB9" w:rsidR="74B59FD0" w:rsidRPr="00E63A17" w:rsidRDefault="7FBC7CC8" w:rsidP="7B4ED9F9">
      <w:pPr>
        <w:pStyle w:val="Ttulo3"/>
        <w:shd w:val="clear" w:color="auto" w:fill="FFFFFF" w:themeFill="background1"/>
        <w:spacing w:before="0" w:after="150" w:line="276" w:lineRule="auto"/>
        <w:jc w:val="both"/>
        <w:rPr>
          <w:rFonts w:ascii="Arial" w:hAnsi="Arial" w:cs="Arial"/>
        </w:rPr>
      </w:pPr>
      <w:r w:rsidRPr="00E63A17">
        <w:rPr>
          <w:rFonts w:ascii="Arial" w:eastAsia="Helvetica" w:hAnsi="Arial" w:cs="Arial"/>
          <w:b/>
          <w:bCs/>
          <w:caps/>
          <w:color w:val="0A4149"/>
          <w:lang w:val="en-US"/>
        </w:rPr>
        <w:t xml:space="preserve">Vegware Compostable Packaging (Scotland) </w:t>
      </w:r>
    </w:p>
    <w:p w14:paraId="43C437EE" w14:textId="596D29EB"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Vegware is a UK-based company creating plant-based, compostable food packaging from renewable materials like cornstarch, PLA, and bagasse. These products are designed to be composted alongside food waste in industrial composting facilities, breaking down into nutrient-rich compost in under 12 weeks. </w:t>
      </w:r>
    </w:p>
    <w:p w14:paraId="79696DA6" w14:textId="5CBFE2AD"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In 2021, Vegware’s ‘Close the Loop’ program in Scotland collected over 76 tonnes of used Vegware products for composting—equivalent to 4.4 million cups and lids of approximately 355 ml. The company also helped 55 clients, including offices, universities, and cafes, establish composting schemes. By the end of that year, commercial collection services were available in 46 of the UK’s largest towns and cities, covering nearly half the population (</w:t>
      </w:r>
      <w:hyperlink r:id="rId21">
        <w:r w:rsidRPr="00E63A17">
          <w:rPr>
            <w:rStyle w:val="Hipervnculo"/>
            <w:rFonts w:ascii="Arial" w:eastAsia="Encode Sans" w:hAnsi="Arial" w:cs="Arial"/>
            <w:color w:val="028287"/>
            <w:lang w:val="en-US"/>
          </w:rPr>
          <w:t>Vegware Sustainability Report, 2021</w:t>
        </w:r>
      </w:hyperlink>
      <w:r w:rsidRPr="00E63A17">
        <w:rPr>
          <w:rFonts w:ascii="Arial" w:eastAsia="Encode Sans" w:hAnsi="Arial" w:cs="Arial"/>
          <w:color w:val="333333"/>
          <w:lang w:val="en-US"/>
        </w:rPr>
        <w:t xml:space="preserve">). </w:t>
      </w:r>
    </w:p>
    <w:p w14:paraId="2998F6CC" w14:textId="3F8C9311"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This model not only diverts waste from landfills and reduces methane emissions but also returns valuable nutrients to the soil—supporting agriculture and aligning with circular economy principles. </w:t>
      </w:r>
    </w:p>
    <w:p w14:paraId="1927F034" w14:textId="605F644B" w:rsidR="74B59FD0" w:rsidRPr="00E63A17" w:rsidRDefault="7FBC7CC8" w:rsidP="7B4ED9F9">
      <w:pPr>
        <w:shd w:val="clear" w:color="auto" w:fill="FFFFFF" w:themeFill="background1"/>
        <w:spacing w:after="150" w:line="276" w:lineRule="auto"/>
        <w:jc w:val="both"/>
        <w:rPr>
          <w:rFonts w:ascii="Arial" w:hAnsi="Arial" w:cs="Arial"/>
          <w:sz w:val="28"/>
          <w:szCs w:val="28"/>
        </w:rPr>
      </w:pPr>
      <w:r w:rsidRPr="00E63A17">
        <w:rPr>
          <w:rFonts w:ascii="Arial" w:eastAsia="Encode Sans" w:hAnsi="Arial" w:cs="Arial"/>
          <w:color w:val="333333"/>
          <w:lang w:val="en-US"/>
        </w:rPr>
        <w:t xml:space="preserve"> </w:t>
      </w:r>
    </w:p>
    <w:p w14:paraId="7C11E991" w14:textId="03392742" w:rsidR="74B59FD0" w:rsidRPr="00E63A17" w:rsidRDefault="7FBC7CC8" w:rsidP="7B4ED9F9">
      <w:pPr>
        <w:pStyle w:val="Ttulo4"/>
        <w:shd w:val="clear" w:color="auto" w:fill="FFFFFF" w:themeFill="background1"/>
        <w:spacing w:before="0" w:after="150" w:line="276" w:lineRule="auto"/>
        <w:jc w:val="both"/>
        <w:rPr>
          <w:rFonts w:ascii="Arial" w:hAnsi="Arial" w:cs="Arial"/>
          <w:sz w:val="28"/>
          <w:szCs w:val="28"/>
        </w:rPr>
      </w:pPr>
      <w:r w:rsidRPr="00E63A17">
        <w:rPr>
          <w:rFonts w:ascii="Arial" w:eastAsia="Helvetica" w:hAnsi="Arial" w:cs="Arial"/>
          <w:b/>
          <w:bCs/>
          <w:i w:val="0"/>
          <w:iCs w:val="0"/>
          <w:caps/>
          <w:color w:val="0A4149"/>
          <w:sz w:val="28"/>
          <w:szCs w:val="28"/>
          <w:lang w:val="en-US"/>
        </w:rPr>
        <w:t xml:space="preserve">Edible Coffee Cups (Bulgaria) </w:t>
      </w:r>
    </w:p>
    <w:p w14:paraId="4C6EE512" w14:textId="43BB5C84"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A creative example of circular innovation from Eastern Europe comes from Bulgaria’s </w:t>
      </w:r>
      <w:r w:rsidRPr="00E63A17">
        <w:rPr>
          <w:rFonts w:ascii="Arial" w:eastAsia="Encode Sans" w:hAnsi="Arial" w:cs="Arial"/>
          <w:b/>
          <w:bCs/>
          <w:color w:val="333333"/>
          <w:lang w:val="en-US"/>
        </w:rPr>
        <w:t>Cupffee</w:t>
      </w:r>
      <w:r w:rsidRPr="00E63A17">
        <w:rPr>
          <w:rFonts w:ascii="Arial" w:eastAsia="Encode Sans" w:hAnsi="Arial" w:cs="Arial"/>
          <w:color w:val="333333"/>
          <w:lang w:val="en-US"/>
        </w:rPr>
        <w:t xml:space="preserve">, a company producing </w:t>
      </w:r>
      <w:r w:rsidRPr="00E63A17">
        <w:rPr>
          <w:rFonts w:ascii="Arial" w:eastAsia="Encode Sans" w:hAnsi="Arial" w:cs="Arial"/>
          <w:b/>
          <w:bCs/>
          <w:color w:val="333333"/>
          <w:lang w:val="en-US"/>
        </w:rPr>
        <w:t>edible coffee cups</w:t>
      </w:r>
      <w:r w:rsidRPr="00E63A17">
        <w:rPr>
          <w:rFonts w:ascii="Arial" w:eastAsia="Encode Sans" w:hAnsi="Arial" w:cs="Arial"/>
          <w:color w:val="333333"/>
          <w:lang w:val="en-US"/>
        </w:rPr>
        <w:t xml:space="preserve"> made from natural cereals. These cups are biodegradable, compostable, and fully edible, offering an alternative to single-use disposable cups that often end up in landfills. Cupffee’s products can </w:t>
      </w:r>
      <w:r w:rsidRPr="00E63A17">
        <w:rPr>
          <w:rFonts w:ascii="Arial" w:eastAsia="Encode Sans" w:hAnsi="Arial" w:cs="Arial"/>
          <w:b/>
          <w:bCs/>
          <w:color w:val="333333"/>
          <w:lang w:val="en-US"/>
        </w:rPr>
        <w:t xml:space="preserve">retain </w:t>
      </w:r>
      <w:r w:rsidRPr="00E63A17">
        <w:rPr>
          <w:rFonts w:ascii="Arial" w:eastAsia="Encode Sans" w:hAnsi="Arial" w:cs="Arial"/>
          <w:b/>
          <w:bCs/>
          <w:color w:val="333333"/>
          <w:lang w:val="en-US"/>
        </w:rPr>
        <w:lastRenderedPageBreak/>
        <w:t>their crispness for up to 40 minutes after contact with hot liquids</w:t>
      </w:r>
      <w:r w:rsidRPr="00E63A17">
        <w:rPr>
          <w:rFonts w:ascii="Arial" w:eastAsia="Encode Sans" w:hAnsi="Arial" w:cs="Arial"/>
          <w:color w:val="333333"/>
          <w:lang w:val="en-US"/>
        </w:rPr>
        <w:t xml:space="preserve"> and leave no waste behind. (</w:t>
      </w:r>
      <w:hyperlink r:id="rId22">
        <w:r w:rsidRPr="00E63A17">
          <w:rPr>
            <w:rStyle w:val="Hipervnculo"/>
            <w:rFonts w:ascii="Arial" w:eastAsia="Encode Sans" w:hAnsi="Arial" w:cs="Arial"/>
            <w:i/>
            <w:iCs/>
            <w:color w:val="028287"/>
            <w:lang w:val="en-US"/>
          </w:rPr>
          <w:t>About Us | Cupffee</w:t>
        </w:r>
        <w:r w:rsidRPr="00E63A17">
          <w:rPr>
            <w:rStyle w:val="Hipervnculo"/>
            <w:rFonts w:ascii="Arial" w:eastAsia="Encode Sans" w:hAnsi="Arial" w:cs="Arial"/>
            <w:color w:val="028287"/>
            <w:lang w:val="en-US"/>
          </w:rPr>
          <w:t>, n.d.)</w:t>
        </w:r>
      </w:hyperlink>
    </w:p>
    <w:p w14:paraId="5AD38D71" w14:textId="418B9206"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This model not only reduces plastic pollution but also promotes a zero-waste culture by rethinking everyday items through a circular lens. It demonstrates how smart design and consumer engagement can create real environmental impact, even in sectors like food packaging. </w:t>
      </w:r>
    </w:p>
    <w:p w14:paraId="36340994" w14:textId="7AD6207F"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3D6E667A" w14:textId="1B32D00E" w:rsidR="74B59FD0" w:rsidRPr="00E63A17" w:rsidRDefault="7FBC7CC8" w:rsidP="7B4ED9F9">
      <w:pPr>
        <w:pStyle w:val="Ttulo4"/>
        <w:shd w:val="clear" w:color="auto" w:fill="FFFFFF" w:themeFill="background1"/>
        <w:spacing w:before="0" w:after="150" w:line="276" w:lineRule="auto"/>
        <w:jc w:val="both"/>
        <w:rPr>
          <w:rFonts w:ascii="Arial" w:hAnsi="Arial" w:cs="Arial"/>
          <w:sz w:val="28"/>
          <w:szCs w:val="28"/>
        </w:rPr>
      </w:pPr>
      <w:r w:rsidRPr="00E63A17">
        <w:rPr>
          <w:rFonts w:ascii="Arial" w:eastAsia="Helvetica" w:hAnsi="Arial" w:cs="Arial"/>
          <w:b/>
          <w:bCs/>
          <w:i w:val="0"/>
          <w:iCs w:val="0"/>
          <w:caps/>
          <w:color w:val="0A4149"/>
          <w:sz w:val="28"/>
          <w:szCs w:val="28"/>
          <w:lang w:val="en-US"/>
        </w:rPr>
        <w:t xml:space="preserve">Eco-Friendly Thermoformed Food Packaging (Spain) </w:t>
      </w:r>
    </w:p>
    <w:p w14:paraId="5539BDDC" w14:textId="5F5BF21B"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In Spain, the adoption of circular practices in food packaging is gaining momentum through companies specializing in sustainable solutions. One example is the company </w:t>
      </w:r>
      <w:proofErr w:type="gramStart"/>
      <w:r w:rsidRPr="00E63A17">
        <w:rPr>
          <w:rFonts w:ascii="Arial" w:eastAsia="Encode Sans" w:hAnsi="Arial" w:cs="Arial"/>
          <w:color w:val="333333"/>
          <w:lang w:val="en-US"/>
        </w:rPr>
        <w:t>Arplast that is developing</w:t>
      </w:r>
      <w:proofErr w:type="gramEnd"/>
      <w:r w:rsidRPr="00E63A17">
        <w:rPr>
          <w:rFonts w:ascii="Arial" w:eastAsia="Encode Sans" w:hAnsi="Arial" w:cs="Arial"/>
          <w:color w:val="333333"/>
          <w:lang w:val="en-US"/>
        </w:rPr>
        <w:t xml:space="preserve"> </w:t>
      </w:r>
      <w:proofErr w:type="gramStart"/>
      <w:r w:rsidRPr="00E63A17">
        <w:rPr>
          <w:rFonts w:ascii="Arial" w:eastAsia="Encode Sans" w:hAnsi="Arial" w:cs="Arial"/>
          <w:b/>
          <w:bCs/>
          <w:color w:val="333333"/>
          <w:lang w:val="en-US"/>
        </w:rPr>
        <w:t>thermoformed</w:t>
      </w:r>
      <w:proofErr w:type="gramEnd"/>
      <w:r w:rsidRPr="00E63A17">
        <w:rPr>
          <w:rFonts w:ascii="Arial" w:eastAsia="Encode Sans" w:hAnsi="Arial" w:cs="Arial"/>
          <w:b/>
          <w:bCs/>
          <w:color w:val="333333"/>
          <w:lang w:val="en-US"/>
        </w:rPr>
        <w:t xml:space="preserve"> containers</w:t>
      </w:r>
      <w:r w:rsidRPr="00E63A17">
        <w:rPr>
          <w:rFonts w:ascii="Arial" w:eastAsia="Encode Sans" w:hAnsi="Arial" w:cs="Arial"/>
          <w:color w:val="333333"/>
          <w:lang w:val="en-US"/>
        </w:rPr>
        <w:t xml:space="preserve"> made from </w:t>
      </w:r>
      <w:r w:rsidRPr="00E63A17">
        <w:rPr>
          <w:rFonts w:ascii="Arial" w:eastAsia="Encode Sans" w:hAnsi="Arial" w:cs="Arial"/>
          <w:b/>
          <w:bCs/>
          <w:color w:val="333333"/>
          <w:lang w:val="en-US"/>
        </w:rPr>
        <w:t>100% recycled plastics and cardboard</w:t>
      </w:r>
      <w:r w:rsidRPr="00E63A17">
        <w:rPr>
          <w:rFonts w:ascii="Arial" w:eastAsia="Encode Sans" w:hAnsi="Arial" w:cs="Arial"/>
          <w:color w:val="333333"/>
          <w:lang w:val="en-US"/>
        </w:rPr>
        <w:t xml:space="preserve">, as well as </w:t>
      </w:r>
      <w:r w:rsidRPr="00E63A17">
        <w:rPr>
          <w:rFonts w:ascii="Arial" w:eastAsia="Encode Sans" w:hAnsi="Arial" w:cs="Arial"/>
          <w:b/>
          <w:bCs/>
          <w:color w:val="333333"/>
          <w:lang w:val="en-US"/>
        </w:rPr>
        <w:t>biodegradable and compostable bioplastics</w:t>
      </w:r>
      <w:r w:rsidRPr="00E63A17">
        <w:rPr>
          <w:rFonts w:ascii="Arial" w:eastAsia="Encode Sans" w:hAnsi="Arial" w:cs="Arial"/>
          <w:color w:val="333333"/>
          <w:lang w:val="en-US"/>
        </w:rPr>
        <w:t xml:space="preserve">. </w:t>
      </w:r>
    </w:p>
    <w:p w14:paraId="19E02AC0" w14:textId="0F4B8AF3"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These materials are used to create customizable, eco-designed packaging that supports both small and large production volumes — making sustainable alternatives more accessible for businesses of different sizes. </w:t>
      </w:r>
      <w:hyperlink r:id="rId23" w:anchor=":~:text=La%20f%C3%A1brica%20de%20envases%20pl%C3%A1sticos,y%20biopl%C3%A1stico%20biodegradable%20y%20compostable">
        <w:r w:rsidRPr="00E63A17">
          <w:rPr>
            <w:rStyle w:val="Hipervnculo"/>
            <w:rFonts w:ascii="Arial" w:eastAsia="Encode Sans" w:hAnsi="Arial" w:cs="Arial"/>
            <w:color w:val="028287"/>
            <w:lang w:val="en-US"/>
          </w:rPr>
          <w:t>(</w:t>
        </w:r>
      </w:hyperlink>
      <w:hyperlink r:id="rId24" w:anchor=":~:text=La%20f%C3%A1brica%20de%20envases%20pl%C3%A1sticos,y%20biopl%C3%A1stico%20biodegradable%20y%20compostable">
        <w:r w:rsidRPr="00E63A17">
          <w:rPr>
            <w:rStyle w:val="Hipervnculo"/>
            <w:rFonts w:ascii="Arial" w:eastAsia="Encode Sans" w:hAnsi="Arial" w:cs="Arial"/>
            <w:i/>
            <w:iCs/>
            <w:color w:val="028287"/>
            <w:lang w:val="en-US"/>
          </w:rPr>
          <w:t>Fábrica De Envases Plásticos – Arplast</w:t>
        </w:r>
        <w:r w:rsidRPr="00E63A17">
          <w:rPr>
            <w:rStyle w:val="Hipervnculo"/>
            <w:rFonts w:ascii="Arial" w:eastAsia="Encode Sans" w:hAnsi="Arial" w:cs="Arial"/>
            <w:color w:val="028287"/>
            <w:lang w:val="en-US"/>
          </w:rPr>
          <w:t xml:space="preserve">, 2025)  </w:t>
        </w:r>
      </w:hyperlink>
    </w:p>
    <w:p w14:paraId="6FF668CB" w14:textId="7D2AA85C"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This approach reflects a broader trend toward embedding circularity into food packaging systems at every stage, from material selection to end-of-life disposal. </w:t>
      </w:r>
    </w:p>
    <w:p w14:paraId="46D90CD3" w14:textId="5FDEF41D"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3EBE2203" w14:textId="756E8303" w:rsidR="74B59FD0" w:rsidRPr="00E63A17" w:rsidRDefault="7FBC7CC8" w:rsidP="7B4ED9F9">
      <w:pPr>
        <w:pStyle w:val="Ttulo4"/>
        <w:shd w:val="clear" w:color="auto" w:fill="FFFFFF" w:themeFill="background1"/>
        <w:spacing w:before="0" w:after="150" w:line="276" w:lineRule="auto"/>
        <w:jc w:val="both"/>
        <w:rPr>
          <w:rFonts w:ascii="Arial" w:hAnsi="Arial" w:cs="Arial"/>
          <w:sz w:val="28"/>
          <w:szCs w:val="28"/>
        </w:rPr>
      </w:pPr>
      <w:r w:rsidRPr="00E63A17">
        <w:rPr>
          <w:rFonts w:ascii="Arial" w:eastAsia="Helvetica" w:hAnsi="Arial" w:cs="Arial"/>
          <w:b/>
          <w:bCs/>
          <w:i w:val="0"/>
          <w:iCs w:val="0"/>
          <w:caps/>
          <w:color w:val="0A4149"/>
          <w:sz w:val="28"/>
          <w:szCs w:val="28"/>
          <w:lang w:val="en-US"/>
        </w:rPr>
        <w:t xml:space="preserve">IFCO Reusable Transport Crates (Germany) </w:t>
      </w:r>
    </w:p>
    <w:p w14:paraId="55B9EFA1" w14:textId="3E17CE96"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Used extensively in European fresh produce supply chains, IFCO reusable transport crates are engineered to be used over 100 times before being recycled. This durability significantly reduces the need for single-use packaging, cutting down on raw material use and waste generation. A life cycle analysis commissioned by IFCO Group shows that</w:t>
      </w:r>
      <w:r w:rsidRPr="00E63A17">
        <w:rPr>
          <w:rFonts w:ascii="Arial" w:eastAsia="Encode Sans" w:hAnsi="Arial" w:cs="Arial"/>
          <w:b/>
          <w:bCs/>
          <w:color w:val="333333"/>
          <w:lang w:val="en-US"/>
        </w:rPr>
        <w:t xml:space="preserve"> these crates can reduce CO</w:t>
      </w:r>
      <w:r w:rsidRPr="00E63A17">
        <w:rPr>
          <w:rFonts w:ascii="Cambria Math" w:eastAsia="Encode Sans" w:hAnsi="Cambria Math" w:cs="Cambria Math"/>
          <w:b/>
          <w:bCs/>
          <w:color w:val="333333"/>
          <w:lang w:val="en-US"/>
        </w:rPr>
        <w:t>₂</w:t>
      </w:r>
      <w:r w:rsidRPr="00E63A17">
        <w:rPr>
          <w:rFonts w:ascii="Arial" w:eastAsia="Encode Sans" w:hAnsi="Arial" w:cs="Arial"/>
          <w:b/>
          <w:bCs/>
          <w:color w:val="333333"/>
          <w:lang w:val="en-US"/>
        </w:rPr>
        <w:t xml:space="preserve"> emissions by up to 60% compared to one-way packaging alternatives </w:t>
      </w:r>
      <w:hyperlink r:id="rId25">
        <w:r w:rsidRPr="00E63A17">
          <w:rPr>
            <w:rStyle w:val="Hipervnculo"/>
            <w:rFonts w:ascii="Arial" w:eastAsia="Encode Sans" w:hAnsi="Arial" w:cs="Arial"/>
            <w:color w:val="028287"/>
            <w:lang w:val="en-US"/>
          </w:rPr>
          <w:t>(Montagnani, 2024)</w:t>
        </w:r>
      </w:hyperlink>
      <w:r w:rsidRPr="00E63A17">
        <w:rPr>
          <w:rFonts w:ascii="Arial" w:eastAsia="Encode Sans" w:hAnsi="Arial" w:cs="Arial"/>
          <w:color w:val="333333"/>
          <w:lang w:val="en-US"/>
        </w:rPr>
        <w:t xml:space="preserve"> </w:t>
      </w:r>
    </w:p>
    <w:p w14:paraId="258008BF" w14:textId="73EF5404"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1F730A9C" w14:textId="72824391" w:rsidR="74B59FD0" w:rsidRPr="00E63A17" w:rsidRDefault="7FBC7CC8" w:rsidP="7B4ED9F9">
      <w:pPr>
        <w:pStyle w:val="Ttulo4"/>
        <w:shd w:val="clear" w:color="auto" w:fill="FFFFFF" w:themeFill="background1"/>
        <w:spacing w:before="0" w:after="150" w:line="276" w:lineRule="auto"/>
        <w:jc w:val="both"/>
        <w:rPr>
          <w:rFonts w:ascii="Arial" w:hAnsi="Arial" w:cs="Arial"/>
          <w:sz w:val="28"/>
          <w:szCs w:val="28"/>
        </w:rPr>
      </w:pPr>
      <w:r w:rsidRPr="00E63A17">
        <w:rPr>
          <w:rFonts w:ascii="Arial" w:eastAsia="Helvetica" w:hAnsi="Arial" w:cs="Arial"/>
          <w:b/>
          <w:bCs/>
          <w:i w:val="0"/>
          <w:iCs w:val="0"/>
          <w:caps/>
          <w:color w:val="0A4149"/>
          <w:sz w:val="28"/>
          <w:szCs w:val="28"/>
          <w:lang w:val="en-US"/>
        </w:rPr>
        <w:t xml:space="preserve">Smart Packaging Prototypes (Global) </w:t>
      </w:r>
    </w:p>
    <w:p w14:paraId="50756228" w14:textId="058C7799"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b/>
          <w:bCs/>
          <w:color w:val="333333"/>
          <w:lang w:val="en-US"/>
        </w:rPr>
        <w:t>Battery-free packaging with embedded sensors</w:t>
      </w:r>
      <w:r w:rsidRPr="00E63A17">
        <w:rPr>
          <w:rFonts w:ascii="Arial" w:eastAsia="Encode Sans" w:hAnsi="Arial" w:cs="Arial"/>
          <w:color w:val="333333"/>
          <w:lang w:val="en-US"/>
        </w:rPr>
        <w:t xml:space="preserve"> is currently being tested as an innovative approach to extending product shelf life and reducing food waste. These </w:t>
      </w:r>
      <w:r w:rsidRPr="00E63A17">
        <w:rPr>
          <w:rFonts w:ascii="Arial" w:eastAsia="Encode Sans" w:hAnsi="Arial" w:cs="Arial"/>
          <w:b/>
          <w:bCs/>
          <w:color w:val="333333"/>
          <w:lang w:val="en-US"/>
        </w:rPr>
        <w:t>prototypes</w:t>
      </w:r>
      <w:r w:rsidRPr="00E63A17">
        <w:rPr>
          <w:rFonts w:ascii="Arial" w:eastAsia="Encode Sans" w:hAnsi="Arial" w:cs="Arial"/>
          <w:color w:val="333333"/>
          <w:lang w:val="en-US"/>
        </w:rPr>
        <w:t xml:space="preserve"> can monitor freshness indicators such as temperature, humidity, and gas composition — and some may even release natural preservatives when spoilage is detected. Though still in the research phase, such smart packaging solutions could one day become key to more efficient food systems and support circular economy goals by preventing waste before it occurs. </w:t>
      </w:r>
      <w:hyperlink r:id="rId26">
        <w:r w:rsidRPr="00E63A17">
          <w:rPr>
            <w:rStyle w:val="Hipervnculo"/>
            <w:rFonts w:ascii="Arial" w:eastAsia="Encode Sans" w:hAnsi="Arial" w:cs="Arial"/>
            <w:color w:val="028287"/>
            <w:lang w:val="en-US"/>
          </w:rPr>
          <w:t>(Douaki et al., 2024)</w:t>
        </w:r>
      </w:hyperlink>
      <w:r w:rsidRPr="00E63A17">
        <w:rPr>
          <w:rFonts w:ascii="Arial" w:eastAsia="Encode Sans" w:hAnsi="Arial" w:cs="Arial"/>
          <w:color w:val="333333"/>
          <w:lang w:val="en-US"/>
        </w:rPr>
        <w:t xml:space="preserve"> </w:t>
      </w:r>
    </w:p>
    <w:p w14:paraId="7EC81E3B" w14:textId="73CF8868"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033AF70A" w14:textId="607100EE" w:rsidR="74B59FD0" w:rsidRPr="00E63A17" w:rsidRDefault="7FBC7CC8" w:rsidP="7B4ED9F9">
      <w:pPr>
        <w:pStyle w:val="Ttulo3"/>
        <w:shd w:val="clear" w:color="auto" w:fill="FFFFFF" w:themeFill="background1"/>
        <w:spacing w:before="0" w:after="150" w:line="276" w:lineRule="auto"/>
        <w:jc w:val="both"/>
        <w:rPr>
          <w:rFonts w:ascii="Arial" w:hAnsi="Arial" w:cs="Arial"/>
        </w:rPr>
      </w:pPr>
      <w:r w:rsidRPr="00E63A17">
        <w:rPr>
          <w:rFonts w:ascii="Arial" w:eastAsia="Helvetica" w:hAnsi="Arial" w:cs="Arial"/>
          <w:b/>
          <w:bCs/>
          <w:caps/>
          <w:color w:val="0A4149"/>
          <w:lang w:val="en-US"/>
        </w:rPr>
        <w:lastRenderedPageBreak/>
        <w:t xml:space="preserve">What Is MAGNO Doing About It? </w:t>
      </w:r>
    </w:p>
    <w:p w14:paraId="1637411E" w14:textId="4FCE7C98"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MAGNO is playing a key role in helping make circular packaging a reality by promoting innovation, collaboration, and practical solutions across the value chain. The project is developing a Digital Twin Ecosystem that enables packaging producers and stakeholders to model, track, and optimize packaging lifecycles in real time. In parallel, MAGNO is piloting the use of AI-powered traceability systems to better monitor packaging materials and improve end-of-life outcomes. </w:t>
      </w:r>
    </w:p>
    <w:p w14:paraId="2F1DF42C" w14:textId="7FFBCC44"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But that’s not all, the project supports sustainable packaging design by bringing together stakeholders from industry, academia, and policy to co-create solutions, and to promote new business models based on reuse</w:t>
      </w:r>
      <w:proofErr w:type="gramStart"/>
      <w:r w:rsidRPr="00E63A17">
        <w:rPr>
          <w:rFonts w:ascii="Arial" w:eastAsia="Encode Sans" w:hAnsi="Arial" w:cs="Arial"/>
          <w:color w:val="333333"/>
          <w:lang w:val="en-US"/>
        </w:rPr>
        <w:t>, return</w:t>
      </w:r>
      <w:proofErr w:type="gramEnd"/>
      <w:r w:rsidRPr="00E63A17">
        <w:rPr>
          <w:rFonts w:ascii="Arial" w:eastAsia="Encode Sans" w:hAnsi="Arial" w:cs="Arial"/>
          <w:color w:val="333333"/>
          <w:lang w:val="en-US"/>
        </w:rPr>
        <w:t xml:space="preserve"> to reduce waste and increase circularity. </w:t>
      </w:r>
    </w:p>
    <w:p w14:paraId="1C98F857" w14:textId="6B16B9AF"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Through these efforts, MAGNO aims to empower consumers and industries alike, creating pathways to more sustainable and circular practices in food packaging. </w:t>
      </w:r>
    </w:p>
    <w:p w14:paraId="483E534C" w14:textId="4D69D69A"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 xml:space="preserve"> </w:t>
      </w:r>
    </w:p>
    <w:p w14:paraId="20AC4703" w14:textId="4A126B31" w:rsidR="74B59FD0" w:rsidRPr="00E63A17" w:rsidRDefault="7FBC7CC8" w:rsidP="7B4ED9F9">
      <w:pPr>
        <w:pStyle w:val="Ttulo3"/>
        <w:shd w:val="clear" w:color="auto" w:fill="FFFFFF" w:themeFill="background1"/>
        <w:spacing w:before="0" w:after="150" w:line="276" w:lineRule="auto"/>
        <w:jc w:val="both"/>
        <w:rPr>
          <w:rFonts w:ascii="Arial" w:hAnsi="Arial" w:cs="Arial"/>
        </w:rPr>
      </w:pPr>
      <w:r w:rsidRPr="00E63A17">
        <w:rPr>
          <w:rFonts w:ascii="Arial" w:eastAsia="Helvetica" w:hAnsi="Arial" w:cs="Arial"/>
          <w:b/>
          <w:bCs/>
          <w:caps/>
          <w:color w:val="0A4149"/>
          <w:lang w:val="en-US"/>
        </w:rPr>
        <w:t xml:space="preserve">Final Thoughts </w:t>
      </w:r>
    </w:p>
    <w:p w14:paraId="05B67197" w14:textId="5039B936"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But all the examples explained above would never have been possible without a</w:t>
      </w:r>
      <w:r w:rsidRPr="00E63A17">
        <w:rPr>
          <w:rFonts w:ascii="Arial" w:eastAsia="Encode Sans" w:hAnsi="Arial" w:cs="Arial"/>
          <w:b/>
          <w:bCs/>
          <w:color w:val="333333"/>
          <w:lang w:val="en-US"/>
        </w:rPr>
        <w:t xml:space="preserve"> shift in consumer behavior</w:t>
      </w:r>
      <w:r w:rsidRPr="00E63A17">
        <w:rPr>
          <w:rFonts w:ascii="Arial" w:eastAsia="Encode Sans" w:hAnsi="Arial" w:cs="Arial"/>
          <w:color w:val="333333"/>
          <w:lang w:val="en-US"/>
        </w:rPr>
        <w:t>. That’s why our role as individuals is so important. Circular packaging isn’t just an environmental strategy — it’s also a personal one.</w:t>
      </w:r>
      <w:r w:rsidRPr="00E63A17">
        <w:rPr>
          <w:rFonts w:ascii="Arial" w:eastAsia="Encode Sans" w:hAnsi="Arial" w:cs="Arial"/>
          <w:b/>
          <w:bCs/>
          <w:color w:val="333333"/>
          <w:lang w:val="en-US"/>
        </w:rPr>
        <w:t xml:space="preserve"> Every container we reuse, every refill we choose, every wrapper we avoid is a signal to the system that things need to change.  </w:t>
      </w:r>
    </w:p>
    <w:p w14:paraId="48290B42" w14:textId="5833B37C" w:rsidR="74B59FD0" w:rsidRPr="00E63A17" w:rsidRDefault="7FBC7CC8" w:rsidP="7B4ED9F9">
      <w:pPr>
        <w:shd w:val="clear" w:color="auto" w:fill="FFFFFF" w:themeFill="background1"/>
        <w:spacing w:after="150" w:line="276" w:lineRule="auto"/>
        <w:jc w:val="both"/>
        <w:rPr>
          <w:rFonts w:ascii="Arial" w:hAnsi="Arial" w:cs="Arial"/>
        </w:rPr>
      </w:pPr>
      <w:r w:rsidRPr="00E63A17">
        <w:rPr>
          <w:rFonts w:ascii="Arial" w:eastAsia="Encode Sans" w:hAnsi="Arial" w:cs="Arial"/>
          <w:color w:val="333333"/>
          <w:lang w:val="en-US"/>
        </w:rPr>
        <w:t>At MAGNO, we believe this transformation starts with people.</w:t>
      </w:r>
    </w:p>
    <w:p w14:paraId="7CF113E6" w14:textId="07E36574" w:rsidR="74B59FD0" w:rsidRPr="00E63A17" w:rsidRDefault="7FBC7CC8" w:rsidP="7B4ED9F9">
      <w:pPr>
        <w:spacing w:before="240" w:after="240" w:line="276" w:lineRule="auto"/>
        <w:jc w:val="both"/>
        <w:rPr>
          <w:rFonts w:ascii="Arial" w:hAnsi="Arial" w:cs="Arial"/>
        </w:rPr>
      </w:pPr>
      <w:r w:rsidRPr="00E63A17">
        <w:rPr>
          <w:rFonts w:ascii="Arial" w:eastAsia="Helvetica" w:hAnsi="Arial" w:cs="Arial"/>
          <w:b/>
          <w:bCs/>
          <w:caps/>
          <w:color w:val="0A4149"/>
          <w:lang w:val="en-US"/>
        </w:rPr>
        <w:t>Because real transformation doesn’t begin in boardrooms or legislation alone — it begins with us.</w:t>
      </w:r>
    </w:p>
    <w:sectPr w:rsidR="74B59FD0" w:rsidRPr="00E63A1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83AEA4"/>
    <w:rsid w:val="0069433D"/>
    <w:rsid w:val="00E63A17"/>
    <w:rsid w:val="01D50CDE"/>
    <w:rsid w:val="0A71CBE7"/>
    <w:rsid w:val="0AAEE8A9"/>
    <w:rsid w:val="0D349AF9"/>
    <w:rsid w:val="108C32E2"/>
    <w:rsid w:val="13B3DA80"/>
    <w:rsid w:val="18B7A5D1"/>
    <w:rsid w:val="18EDE781"/>
    <w:rsid w:val="19A7FF2D"/>
    <w:rsid w:val="1CC89A03"/>
    <w:rsid w:val="25D06666"/>
    <w:rsid w:val="290DDFA3"/>
    <w:rsid w:val="2A9930AF"/>
    <w:rsid w:val="2CC7ADC6"/>
    <w:rsid w:val="32FBAF96"/>
    <w:rsid w:val="3D6492B0"/>
    <w:rsid w:val="3E1CB15B"/>
    <w:rsid w:val="408B9D65"/>
    <w:rsid w:val="427339C9"/>
    <w:rsid w:val="43100067"/>
    <w:rsid w:val="43FAC981"/>
    <w:rsid w:val="4A30D001"/>
    <w:rsid w:val="4E46B599"/>
    <w:rsid w:val="57BF3F51"/>
    <w:rsid w:val="5DE07540"/>
    <w:rsid w:val="62B201D4"/>
    <w:rsid w:val="638894D6"/>
    <w:rsid w:val="65C37C28"/>
    <w:rsid w:val="68965BBD"/>
    <w:rsid w:val="69FEAE6A"/>
    <w:rsid w:val="740D3B0F"/>
    <w:rsid w:val="74B59FD0"/>
    <w:rsid w:val="7AC26D71"/>
    <w:rsid w:val="7B4ED9F9"/>
    <w:rsid w:val="7B83AEA4"/>
    <w:rsid w:val="7E9E653F"/>
    <w:rsid w:val="7FA44D68"/>
    <w:rsid w:val="7FBC7C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3AEA4"/>
  <w15:chartTrackingRefBased/>
  <w15:docId w15:val="{5DB40E19-D3EB-4CA6-964F-9C075F56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43100067"/>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Ttulo2">
    <w:name w:val="heading 2"/>
    <w:basedOn w:val="Normal"/>
    <w:next w:val="Normal"/>
    <w:uiPriority w:val="9"/>
    <w:unhideWhenUsed/>
    <w:qFormat/>
    <w:rsid w:val="74B59FD0"/>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74B59FD0"/>
    <w:pPr>
      <w:keepNext/>
      <w:keepLines/>
      <w:spacing w:before="160" w:after="80"/>
      <w:outlineLvl w:val="2"/>
    </w:pPr>
    <w:rPr>
      <w:rFonts w:eastAsiaTheme="minorEastAsia" w:cstheme="majorEastAsia"/>
      <w:color w:val="0F4761" w:themeColor="accent1" w:themeShade="BF"/>
      <w:sz w:val="28"/>
      <w:szCs w:val="28"/>
    </w:rPr>
  </w:style>
  <w:style w:type="paragraph" w:styleId="Ttulo4">
    <w:name w:val="heading 4"/>
    <w:basedOn w:val="Normal"/>
    <w:next w:val="Normal"/>
    <w:uiPriority w:val="9"/>
    <w:unhideWhenUsed/>
    <w:qFormat/>
    <w:rsid w:val="7B4ED9F9"/>
    <w:pPr>
      <w:keepNext/>
      <w:keepLines/>
      <w:spacing w:before="80" w:after="40"/>
      <w:outlineLvl w:val="3"/>
    </w:pPr>
    <w:rPr>
      <w:rFonts w:eastAsiaTheme="majorEastAsia" w:cstheme="majorBidi"/>
      <w:i/>
      <w:iCs/>
      <w:color w:val="0F476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74B59FD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gno-project.eu/magno-consumer-insights-the-circular-economy-and-its-impact-on-food-packaging-in-the-eu/" TargetMode="External"/><Relationship Id="rId13" Type="http://schemas.openxmlformats.org/officeDocument/2006/relationships/hyperlink" Target="https://stateofgreen.com/en/solutions/the-danish-deposit-return-system-for-recycling-drink-cans-and-bottles/?utm_source=chatgpt.com" TargetMode="External"/><Relationship Id="rId18" Type="http://schemas.openxmlformats.org/officeDocument/2006/relationships/hyperlink" Target="https://www.statista.com/statistics/1201266/french-buyers-sustainable-packaging/?utm_source=chatgpt.com" TargetMode="External"/><Relationship Id="rId26" Type="http://schemas.openxmlformats.org/officeDocument/2006/relationships/hyperlink" Target="https://arxiv.org/abs/2501.14764" TargetMode="External"/><Relationship Id="rId3" Type="http://schemas.openxmlformats.org/officeDocument/2006/relationships/customXml" Target="../customXml/item3.xml"/><Relationship Id="rId21" Type="http://schemas.openxmlformats.org/officeDocument/2006/relationships/hyperlink" Target="https://bioplasticsnews.com/wp-content/uploads/2022/08/Vegware_Sustainability_Report_2021.pdf?utm_source=chatgpt.com" TargetMode="External"/><Relationship Id="rId7" Type="http://schemas.openxmlformats.org/officeDocument/2006/relationships/hyperlink" Target="https://europa.eu/eurobarometer/surveys/detail/2273" TargetMode="External"/><Relationship Id="rId12" Type="http://schemas.openxmlformats.org/officeDocument/2006/relationships/hyperlink" Target="https://www.foodtimes.eu/planet-en/danish-deposit-system-excellence/?utm_source=chatgpt.com" TargetMode="External"/><Relationship Id="rId17" Type="http://schemas.openxmlformats.org/officeDocument/2006/relationships/hyperlink" Target="https://en.lebonbon.fr/toulouse/stories/super-completely-naked-larger-zero-waste-supermarket-france/?utm_source=chatgpt.com" TargetMode="External"/><Relationship Id="rId25" Type="http://schemas.openxmlformats.org/officeDocument/2006/relationships/hyperlink" Target="https://www.ifco.com/es/ifco-reusable-packaging-life-cycle-assessment-results-2024/" TargetMode="External"/><Relationship Id="rId2" Type="http://schemas.openxmlformats.org/officeDocument/2006/relationships/customXml" Target="../customXml/item2.xml"/><Relationship Id="rId16" Type="http://schemas.openxmlformats.org/officeDocument/2006/relationships/hyperlink" Target="https://seas-at-risk.org/wp-content/uploads/2021/06/Best-Practices-ENG.pdf?utm_source=chatgpt.com" TargetMode="External"/><Relationship Id="rId20" Type="http://schemas.openxmlformats.org/officeDocument/2006/relationships/image" Target="media/image3.jpg"/><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lickr.com/photos/davepinter/3274668135" TargetMode="External"/><Relationship Id="rId24" Type="http://schemas.openxmlformats.org/officeDocument/2006/relationships/hyperlink" Target="https://arplastsl.com/" TargetMode="External"/><Relationship Id="rId5" Type="http://schemas.openxmlformats.org/officeDocument/2006/relationships/settings" Target="settings.xml"/><Relationship Id="rId15" Type="http://schemas.openxmlformats.org/officeDocument/2006/relationships/hyperlink" Target="https://commons.wikimedia.org/wiki/File:Reverse_vending_machine_for_the_NSW_Container_Deposit_Scheme_at_the_Kooringal_Mall.jpg" TargetMode="External"/><Relationship Id="rId23" Type="http://schemas.openxmlformats.org/officeDocument/2006/relationships/hyperlink" Target="https://arplastsl.com/" TargetMode="External"/><Relationship Id="rId28"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yperlink" Target="https://www.grandviewresearch.com/horizon/outlook/zero-waste-packaging-market/france?utm_source=chatgpt.com" TargetMode="External"/><Relationship Id="rId4" Type="http://schemas.openxmlformats.org/officeDocument/2006/relationships/styles" Target="styles.xml"/><Relationship Id="rId9" Type="http://schemas.openxmlformats.org/officeDocument/2006/relationships/hyperlink" Target="https://www.carrefour.com/sites/default/files/2025-03/CFR_URD_2024_EN_250328_MEL_2.pdf" TargetMode="External"/><Relationship Id="rId14" Type="http://schemas.openxmlformats.org/officeDocument/2006/relationships/image" Target="media/image2.jpg"/><Relationship Id="rId22" Type="http://schemas.openxmlformats.org/officeDocument/2006/relationships/hyperlink" Target="https://www.cupffee.me/en/about-u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34F04F-860D-418D-AF23-A970B6FCF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42A5CF-8693-45FF-A8A9-06829D0EFFC8}">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D64DB443-E154-4216-8694-9E07267326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2090</Words>
  <Characters>11495</Characters>
  <Application>Microsoft Office Word</Application>
  <DocSecurity>0</DocSecurity>
  <Lines>95</Lines>
  <Paragraphs>27</Paragraphs>
  <ScaleCrop>false</ScaleCrop>
  <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2</cp:revision>
  <dcterms:created xsi:type="dcterms:W3CDTF">2025-04-16T08:21:00Z</dcterms:created>
  <dcterms:modified xsi:type="dcterms:W3CDTF">2026-09-14T07:35:00Z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