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686B3" w14:textId="713FB005" w:rsidR="380779DA" w:rsidRPr="00725A65" w:rsidRDefault="2E028883" w:rsidP="00C10CCA">
      <w:pPr>
        <w:pStyle w:val="Ttulo1"/>
        <w:shd w:val="clear" w:color="auto" w:fill="FFFFFF" w:themeFill="background1"/>
        <w:spacing w:before="0" w:after="150" w:line="276" w:lineRule="auto"/>
        <w:jc w:val="both"/>
        <w:rPr>
          <w:rFonts w:ascii="Arial" w:eastAsia="Helvetica" w:hAnsi="Arial" w:cs="Arial"/>
          <w:b/>
          <w:bCs/>
          <w:caps/>
          <w:color w:val="0A4149"/>
          <w:sz w:val="36"/>
          <w:szCs w:val="36"/>
        </w:rPr>
      </w:pPr>
      <w:r w:rsidRPr="00725A65">
        <w:rPr>
          <w:rFonts w:ascii="Arial" w:eastAsia="Helvetica" w:hAnsi="Arial" w:cs="Arial"/>
          <w:b/>
          <w:bCs/>
          <w:caps/>
          <w:color w:val="0A4149"/>
          <w:sz w:val="36"/>
          <w:szCs w:val="36"/>
        </w:rPr>
        <w:t>Business models as hinge for the relation between companies, consumers, and the environment</w:t>
      </w:r>
    </w:p>
    <w:p w14:paraId="6C0D4B5C" w14:textId="5D8279BD"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 xml:space="preserve">In the urgent quest to reinvent our food systems, the business model isn’t just a behind-the-scenes spreadsheet—it’s the frontline battlefield. It’s where corporate ambition, consumer desire, and environmental survival collide. And make no mistake: </w:t>
      </w:r>
      <w:r w:rsidRPr="00725A65">
        <w:rPr>
          <w:rFonts w:ascii="Arial" w:eastAsia="Encode Sans" w:hAnsi="Arial" w:cs="Arial"/>
          <w:b/>
          <w:bCs/>
          <w:color w:val="333333"/>
          <w:lang w:val="en-US"/>
        </w:rPr>
        <w:t>how a company decides to make money is just as important as what it produces.</w:t>
      </w:r>
      <w:r w:rsidRPr="00725A65">
        <w:rPr>
          <w:rFonts w:ascii="Arial" w:eastAsia="Encode Sans" w:hAnsi="Arial" w:cs="Arial"/>
          <w:color w:val="333333"/>
          <w:lang w:val="en-US"/>
        </w:rPr>
        <w:t xml:space="preserve"> Because in a warming world filled with microplastics and mounting consumer expectations, the wrong model isn’t just </w:t>
      </w:r>
      <w:proofErr w:type="gramStart"/>
      <w:r w:rsidRPr="00725A65">
        <w:rPr>
          <w:rFonts w:ascii="Arial" w:eastAsia="Encode Sans" w:hAnsi="Arial" w:cs="Arial"/>
          <w:color w:val="333333"/>
          <w:lang w:val="en-US"/>
        </w:rPr>
        <w:t>outdated—</w:t>
      </w:r>
      <w:proofErr w:type="gramEnd"/>
      <w:r w:rsidRPr="00725A65">
        <w:rPr>
          <w:rFonts w:ascii="Arial" w:eastAsia="Encode Sans" w:hAnsi="Arial" w:cs="Arial"/>
          <w:color w:val="333333"/>
          <w:lang w:val="en-US"/>
        </w:rPr>
        <w:t>it’s dangerous.</w:t>
      </w:r>
    </w:p>
    <w:p w14:paraId="6D8A798A" w14:textId="1845EC06"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 xml:space="preserve">In the realm of sustainable food systems, business models dictate the flow of everything: from what raw materials are used and how products are delivered, to what ends up in a landfill—or doesn’t. Circular models that prioritize reuse, recyclability, and regeneration are no longer fringe—they’re the new frontier. When companies design packaging that can be returned, refilled, or composted, they’re not just cutting waste; </w:t>
      </w:r>
      <w:r w:rsidRPr="00725A65">
        <w:rPr>
          <w:rFonts w:ascii="Arial" w:eastAsia="Encode Sans" w:hAnsi="Arial" w:cs="Arial"/>
          <w:b/>
          <w:bCs/>
          <w:color w:val="333333"/>
          <w:lang w:val="en-US"/>
        </w:rPr>
        <w:t>they’re speaking the language of a new generation of eco-conscious consumers</w:t>
      </w:r>
      <w:r w:rsidRPr="00725A65">
        <w:rPr>
          <w:rFonts w:ascii="Arial" w:eastAsia="Encode Sans" w:hAnsi="Arial" w:cs="Arial"/>
          <w:color w:val="333333"/>
          <w:lang w:val="en-US"/>
        </w:rPr>
        <w:t>. These are people who vote with their wallets, reject greenwashing, and demand transparency from the brands they support.</w:t>
      </w:r>
    </w:p>
    <w:p w14:paraId="0F1B9233" w14:textId="46D7E3D7"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hAnsi="Arial" w:cs="Arial"/>
          <w:noProof/>
        </w:rPr>
        <w:drawing>
          <wp:inline distT="0" distB="0" distL="0" distR="0" wp14:anchorId="59064804" wp14:editId="0B7FDE73">
            <wp:extent cx="3848100" cy="2743200"/>
            <wp:effectExtent l="0" t="0" r="0" b="0"/>
            <wp:docPr id="11095616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61668" name="Picture 1109561668"/>
                    <pic:cNvPicPr/>
                  </pic:nvPicPr>
                  <pic:blipFill>
                    <a:blip r:embed="rId8">
                      <a:extLst>
                        <a:ext uri="{28A0092B-C50C-407E-A947-70E740481C1C}">
                          <a14:useLocalDpi xmlns:a14="http://schemas.microsoft.com/office/drawing/2010/main"/>
                        </a:ext>
                      </a:extLst>
                    </a:blip>
                    <a:stretch>
                      <a:fillRect/>
                    </a:stretch>
                  </pic:blipFill>
                  <pic:spPr>
                    <a:xfrm>
                      <a:off x="0" y="0"/>
                      <a:ext cx="3848100" cy="2743200"/>
                    </a:xfrm>
                    <a:prstGeom prst="rect">
                      <a:avLst/>
                    </a:prstGeom>
                  </pic:spPr>
                </pic:pic>
              </a:graphicData>
            </a:graphic>
          </wp:inline>
        </w:drawing>
      </w:r>
    </w:p>
    <w:p w14:paraId="2DE19180" w14:textId="4C45C98B"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And let’s be honest: consumers aren’t just spectators anymore. They’re co-pilots. Their preferences shape entire industries, whether it’s the explosion of zero-waste shops, the revival of milk-bottle-style returnables, or the viral power of unboxing compostable packaging on TikTok. The market is listening—and shifting. What used to be niche is fast becoming non-negotiable.</w:t>
      </w:r>
    </w:p>
    <w:p w14:paraId="219A8302" w14:textId="0581A135"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 xml:space="preserve">This evolution is not happening in a vacuum. </w:t>
      </w:r>
      <w:r w:rsidRPr="00725A65">
        <w:rPr>
          <w:rFonts w:ascii="Arial" w:eastAsia="Encode Sans" w:hAnsi="Arial" w:cs="Arial"/>
          <w:b/>
          <w:bCs/>
          <w:color w:val="333333"/>
          <w:lang w:val="en-US"/>
        </w:rPr>
        <w:t>Consumers play a pivotal role in driving demand for sustainable practices</w:t>
      </w:r>
      <w:r w:rsidRPr="00725A65">
        <w:rPr>
          <w:rFonts w:ascii="Arial" w:eastAsia="Encode Sans" w:hAnsi="Arial" w:cs="Arial"/>
          <w:color w:val="333333"/>
          <w:lang w:val="en-US"/>
        </w:rPr>
        <w:t xml:space="preserve">—not only by choosing products aligned with circular principles, but also by engaging with businesses that reflect their values. The feedback loop between consumer behavior and business innovation is growing </w:t>
      </w:r>
      <w:r w:rsidRPr="00725A65">
        <w:rPr>
          <w:rFonts w:ascii="Arial" w:eastAsia="Encode Sans" w:hAnsi="Arial" w:cs="Arial"/>
          <w:color w:val="333333"/>
          <w:lang w:val="en-US"/>
        </w:rPr>
        <w:lastRenderedPageBreak/>
        <w:t>tighter: when buyers actively seek out refill stations, demand compostable alternatives, or support packaging-as-a-service models, they signal that</w:t>
      </w:r>
      <w:r w:rsidRPr="00725A65">
        <w:rPr>
          <w:rFonts w:ascii="Arial" w:eastAsia="Encode Sans" w:hAnsi="Arial" w:cs="Arial"/>
          <w:b/>
          <w:bCs/>
          <w:color w:val="333333"/>
          <w:lang w:val="en-US"/>
        </w:rPr>
        <w:t xml:space="preserve"> change is not only needed, but profitable.</w:t>
      </w:r>
    </w:p>
    <w:p w14:paraId="43A17D40" w14:textId="3E656B4B"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But here’s the twist:</w:t>
      </w:r>
      <w:r w:rsidRPr="00725A65">
        <w:rPr>
          <w:rFonts w:ascii="Arial" w:eastAsia="Encode Sans" w:hAnsi="Arial" w:cs="Arial"/>
          <w:b/>
          <w:bCs/>
          <w:color w:val="333333"/>
          <w:lang w:val="en-US"/>
        </w:rPr>
        <w:t xml:space="preserve"> sustainability isn’t just good PR</w:t>
      </w:r>
      <w:r w:rsidRPr="00725A65">
        <w:rPr>
          <w:rFonts w:ascii="Arial" w:eastAsia="Encode Sans" w:hAnsi="Arial" w:cs="Arial"/>
          <w:color w:val="333333"/>
          <w:lang w:val="en-US"/>
        </w:rPr>
        <w:t xml:space="preserve">. It’s smart economics. From water conservation to waste reduction, aligning business with ecological principles often means long-term savings, regulatory readiness, and investor confidence. Governments are tightening the screws with bans on single-use plastics and incentives for low-carbon innovation. If businesses aren’t already adapting, they’re falling behind. Regulatory </w:t>
      </w:r>
      <w:proofErr w:type="gramStart"/>
      <w:r w:rsidRPr="00725A65">
        <w:rPr>
          <w:rFonts w:ascii="Arial" w:eastAsia="Encode Sans" w:hAnsi="Arial" w:cs="Arial"/>
          <w:color w:val="333333"/>
          <w:lang w:val="en-US"/>
        </w:rPr>
        <w:t>backlash</w:t>
      </w:r>
      <w:proofErr w:type="gramEnd"/>
      <w:r w:rsidRPr="00725A65">
        <w:rPr>
          <w:rFonts w:ascii="Arial" w:eastAsia="Encode Sans" w:hAnsi="Arial" w:cs="Arial"/>
          <w:color w:val="333333"/>
          <w:lang w:val="en-US"/>
        </w:rPr>
        <w:t xml:space="preserve"> and consumer </w:t>
      </w:r>
      <w:proofErr w:type="gramStart"/>
      <w:r w:rsidRPr="00725A65">
        <w:rPr>
          <w:rFonts w:ascii="Arial" w:eastAsia="Encode Sans" w:hAnsi="Arial" w:cs="Arial"/>
          <w:color w:val="333333"/>
          <w:lang w:val="en-US"/>
        </w:rPr>
        <w:t>revolt</w:t>
      </w:r>
      <w:proofErr w:type="gramEnd"/>
      <w:r w:rsidRPr="00725A65">
        <w:rPr>
          <w:rFonts w:ascii="Arial" w:eastAsia="Encode Sans" w:hAnsi="Arial" w:cs="Arial"/>
          <w:color w:val="333333"/>
          <w:lang w:val="en-US"/>
        </w:rPr>
        <w:t xml:space="preserve"> are just one misstep away.</w:t>
      </w:r>
    </w:p>
    <w:p w14:paraId="6FBB40D7" w14:textId="365BC878"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This is where the real challenge lies: choosing the right model, not just a trendy one. A model that works economically, socially, and ecologically. Missteps—like clinging to non-recyclable or single-use packaging—risk more than bad press; they jeopardize market access, investor trust, and compliance with fast-evolving policy. On the flip side, businesses that embed sustainability into their models are seizing a competitive edge in an increasingly crowded and conscious marketplace.</w:t>
      </w:r>
    </w:p>
    <w:p w14:paraId="454A2BBF" w14:textId="574046DA"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 xml:space="preserve">And from the consumer’s side, understanding what lies behind the packaging is just as essential. </w:t>
      </w:r>
      <w:r w:rsidRPr="00725A65">
        <w:rPr>
          <w:rFonts w:ascii="Arial" w:eastAsia="Encode Sans" w:hAnsi="Arial" w:cs="Arial"/>
          <w:b/>
          <w:bCs/>
          <w:color w:val="333333"/>
          <w:lang w:val="en-US"/>
        </w:rPr>
        <w:t>Awareness and education empower individuals</w:t>
      </w:r>
      <w:r w:rsidRPr="00725A65">
        <w:rPr>
          <w:rFonts w:ascii="Arial" w:eastAsia="Encode Sans" w:hAnsi="Arial" w:cs="Arial"/>
          <w:color w:val="333333"/>
          <w:lang w:val="en-US"/>
        </w:rPr>
        <w:t xml:space="preserve"> to recognize which business models genuinely reduce </w:t>
      </w:r>
      <w:proofErr w:type="gramStart"/>
      <w:r w:rsidRPr="00725A65">
        <w:rPr>
          <w:rFonts w:ascii="Arial" w:eastAsia="Encode Sans" w:hAnsi="Arial" w:cs="Arial"/>
          <w:color w:val="333333"/>
          <w:lang w:val="en-US"/>
        </w:rPr>
        <w:t>impact</w:t>
      </w:r>
      <w:proofErr w:type="gramEnd"/>
      <w:r w:rsidRPr="00725A65">
        <w:rPr>
          <w:rFonts w:ascii="Arial" w:eastAsia="Encode Sans" w:hAnsi="Arial" w:cs="Arial"/>
          <w:color w:val="333333"/>
          <w:lang w:val="en-US"/>
        </w:rPr>
        <w:t xml:space="preserve"> and which merely shift the burden elsewhere. Consumers that reward transparency and long-term thinking help push the market away from performative sustainability and toward real systems change.</w:t>
      </w:r>
    </w:p>
    <w:p w14:paraId="3887205B" w14:textId="7EC7E0F3" w:rsidR="380779DA" w:rsidRPr="00725A65" w:rsidRDefault="2E028883" w:rsidP="00C10CCA">
      <w:pPr>
        <w:pStyle w:val="Ttulo2"/>
        <w:shd w:val="clear" w:color="auto" w:fill="FFFFFF" w:themeFill="background1"/>
        <w:spacing w:before="0" w:after="150" w:line="276" w:lineRule="auto"/>
        <w:jc w:val="both"/>
        <w:rPr>
          <w:rFonts w:ascii="Arial" w:hAnsi="Arial" w:cs="Arial"/>
          <w:sz w:val="28"/>
          <w:szCs w:val="28"/>
        </w:rPr>
      </w:pPr>
      <w:r w:rsidRPr="00725A65">
        <w:rPr>
          <w:rFonts w:ascii="Arial" w:eastAsia="Helvetica" w:hAnsi="Arial" w:cs="Arial"/>
          <w:b/>
          <w:bCs/>
          <w:caps/>
          <w:color w:val="0A4149"/>
          <w:sz w:val="28"/>
          <w:szCs w:val="28"/>
          <w:lang w:val="en-US"/>
        </w:rPr>
        <w:t>So, what are our options?</w:t>
      </w:r>
    </w:p>
    <w:p w14:paraId="3E196117" w14:textId="37FF905C"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hAnsi="Arial" w:cs="Arial"/>
          <w:noProof/>
        </w:rPr>
        <w:drawing>
          <wp:inline distT="0" distB="0" distL="0" distR="0" wp14:anchorId="20B748FD" wp14:editId="7607843F">
            <wp:extent cx="3429000" cy="2447925"/>
            <wp:effectExtent l="0" t="0" r="0" b="0"/>
            <wp:docPr id="17265553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55369" name="Picture 1726555369"/>
                    <pic:cNvPicPr/>
                  </pic:nvPicPr>
                  <pic:blipFill>
                    <a:blip r:embed="rId9">
                      <a:extLst>
                        <a:ext uri="{28A0092B-C50C-407E-A947-70E740481C1C}">
                          <a14:useLocalDpi xmlns:a14="http://schemas.microsoft.com/office/drawing/2010/main"/>
                        </a:ext>
                      </a:extLst>
                    </a:blip>
                    <a:stretch>
                      <a:fillRect/>
                    </a:stretch>
                  </pic:blipFill>
                  <pic:spPr>
                    <a:xfrm>
                      <a:off x="0" y="0"/>
                      <a:ext cx="3429000" cy="2447925"/>
                    </a:xfrm>
                    <a:prstGeom prst="rect">
                      <a:avLst/>
                    </a:prstGeom>
                  </pic:spPr>
                </pic:pic>
              </a:graphicData>
            </a:graphic>
          </wp:inline>
        </w:drawing>
      </w:r>
    </w:p>
    <w:p w14:paraId="4E4E6672" w14:textId="5A94A49C"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 xml:space="preserve"> </w:t>
      </w:r>
    </w:p>
    <w:p w14:paraId="58D7FE34" w14:textId="20FF48D5" w:rsidR="380779DA" w:rsidRPr="00725A65" w:rsidRDefault="2E028883" w:rsidP="00C10CCA">
      <w:pPr>
        <w:pStyle w:val="Ttulo3"/>
        <w:shd w:val="clear" w:color="auto" w:fill="FFFFFF" w:themeFill="background1"/>
        <w:spacing w:before="0" w:after="150" w:line="276" w:lineRule="auto"/>
        <w:jc w:val="both"/>
        <w:rPr>
          <w:rFonts w:ascii="Arial" w:hAnsi="Arial" w:cs="Arial"/>
        </w:rPr>
      </w:pPr>
      <w:r w:rsidRPr="00725A65">
        <w:rPr>
          <w:rFonts w:ascii="Arial" w:eastAsia="Helvetica" w:hAnsi="Arial" w:cs="Arial"/>
          <w:b/>
          <w:bCs/>
          <w:caps/>
          <w:color w:val="0A4149"/>
          <w:lang w:val="en-US"/>
        </w:rPr>
        <w:t>Circular Business Models (sustainability-oriented):</w:t>
      </w:r>
    </w:p>
    <w:p w14:paraId="42FC7549" w14:textId="4E1B0921"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Reusable packaging:</w:t>
      </w:r>
      <w:r w:rsidRPr="00725A65">
        <w:rPr>
          <w:rFonts w:ascii="Arial" w:eastAsia="Encode Sans" w:hAnsi="Arial" w:cs="Arial"/>
          <w:color w:val="333333"/>
          <w:lang w:val="en-US"/>
        </w:rPr>
        <w:t xml:space="preserve"> Durable containers designed for repeated use.</w:t>
      </w:r>
    </w:p>
    <w:p w14:paraId="481CEC1B" w14:textId="031182C7"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Refillable packaging:</w:t>
      </w:r>
      <w:r w:rsidRPr="00725A65">
        <w:rPr>
          <w:rFonts w:ascii="Arial" w:eastAsia="Encode Sans" w:hAnsi="Arial" w:cs="Arial"/>
          <w:color w:val="333333"/>
          <w:lang w:val="en-US"/>
        </w:rPr>
        <w:t xml:space="preserve"> Systems enabling consumers to top-up rather than throw out.</w:t>
      </w:r>
    </w:p>
    <w:p w14:paraId="06E872E1" w14:textId="2A58E8C7"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lastRenderedPageBreak/>
        <w:t>Compostable packaging:</w:t>
      </w:r>
      <w:r w:rsidRPr="00725A65">
        <w:rPr>
          <w:rFonts w:ascii="Arial" w:eastAsia="Encode Sans" w:hAnsi="Arial" w:cs="Arial"/>
          <w:color w:val="333333"/>
          <w:lang w:val="en-US"/>
        </w:rPr>
        <w:t xml:space="preserve"> Made from plant-based materials that break down naturally.</w:t>
      </w:r>
    </w:p>
    <w:p w14:paraId="013BD6F8" w14:textId="0B9FC97E"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Recyclable packaging:</w:t>
      </w:r>
      <w:r w:rsidRPr="00725A65">
        <w:rPr>
          <w:rFonts w:ascii="Arial" w:eastAsia="Encode Sans" w:hAnsi="Arial" w:cs="Arial"/>
          <w:color w:val="333333"/>
          <w:lang w:val="en-US"/>
        </w:rPr>
        <w:t xml:space="preserve"> Designed for easy material recovery.</w:t>
      </w:r>
    </w:p>
    <w:p w14:paraId="43083838" w14:textId="7BD8CB5E"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Returnable packaging:</w:t>
      </w:r>
      <w:r w:rsidRPr="00725A65">
        <w:rPr>
          <w:rFonts w:ascii="Arial" w:eastAsia="Encode Sans" w:hAnsi="Arial" w:cs="Arial"/>
          <w:color w:val="333333"/>
          <w:lang w:val="en-US"/>
        </w:rPr>
        <w:t xml:space="preserve"> Sent back to the producer for cleaning and reuse.</w:t>
      </w:r>
    </w:p>
    <w:p w14:paraId="011FC8DB" w14:textId="3736E2F2"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Eco-friendly packaging:</w:t>
      </w:r>
      <w:r w:rsidRPr="00725A65">
        <w:rPr>
          <w:rFonts w:ascii="Arial" w:eastAsia="Encode Sans" w:hAnsi="Arial" w:cs="Arial"/>
          <w:color w:val="333333"/>
          <w:lang w:val="en-US"/>
        </w:rPr>
        <w:t xml:space="preserve"> Minimalist, low-impact materials.</w:t>
      </w:r>
    </w:p>
    <w:p w14:paraId="18329C2C" w14:textId="21625C3A"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Packaging as a Service (PaaS):</w:t>
      </w:r>
      <w:r w:rsidRPr="00725A65">
        <w:rPr>
          <w:rFonts w:ascii="Arial" w:eastAsia="Encode Sans" w:hAnsi="Arial" w:cs="Arial"/>
          <w:color w:val="333333"/>
          <w:lang w:val="en-US"/>
        </w:rPr>
        <w:t xml:space="preserve"> Leasing packaging infrastructure to reduce waste and cost.</w:t>
      </w:r>
    </w:p>
    <w:p w14:paraId="13129188" w14:textId="3D3E59A4"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Closed-loop packaging:</w:t>
      </w:r>
      <w:r w:rsidRPr="00725A65">
        <w:rPr>
          <w:rFonts w:ascii="Arial" w:eastAsia="Encode Sans" w:hAnsi="Arial" w:cs="Arial"/>
          <w:color w:val="333333"/>
          <w:lang w:val="en-US"/>
        </w:rPr>
        <w:t xml:space="preserve"> End-to-end reuse within a single system or company.</w:t>
      </w:r>
    </w:p>
    <w:p w14:paraId="6FEA4197" w14:textId="73F12448"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Zero waste packaging:</w:t>
      </w:r>
      <w:r w:rsidRPr="00725A65">
        <w:rPr>
          <w:rFonts w:ascii="Arial" w:eastAsia="Encode Sans" w:hAnsi="Arial" w:cs="Arial"/>
          <w:color w:val="333333"/>
          <w:lang w:val="en-US"/>
        </w:rPr>
        <w:t xml:space="preserve"> Radical reduction of disposable materials.</w:t>
      </w:r>
    </w:p>
    <w:p w14:paraId="6C061A46" w14:textId="2BF6CD20"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Collaborative packaging:</w:t>
      </w:r>
      <w:r w:rsidRPr="00725A65">
        <w:rPr>
          <w:rFonts w:ascii="Arial" w:eastAsia="Encode Sans" w:hAnsi="Arial" w:cs="Arial"/>
          <w:color w:val="333333"/>
          <w:lang w:val="en-US"/>
        </w:rPr>
        <w:t xml:space="preserve"> Shared infrastructure and design standards among businesses.</w:t>
      </w:r>
    </w:p>
    <w:p w14:paraId="53107D66" w14:textId="5E31287A" w:rsidR="380779DA" w:rsidRPr="00725A65" w:rsidRDefault="2E028883" w:rsidP="00C10C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Safe and Sustainable by Design (SSbD):</w:t>
      </w:r>
      <w:r w:rsidRPr="00725A65">
        <w:rPr>
          <w:rFonts w:ascii="Arial" w:eastAsia="Encode Sans" w:hAnsi="Arial" w:cs="Arial"/>
          <w:color w:val="333333"/>
          <w:lang w:val="en-US"/>
        </w:rPr>
        <w:t xml:space="preserve"> Embeds safety and sustainability from the earliest design phase.</w:t>
      </w:r>
    </w:p>
    <w:p w14:paraId="1A4EB249" w14:textId="5E92FE04"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 xml:space="preserve"> </w:t>
      </w:r>
    </w:p>
    <w:p w14:paraId="154B5658" w14:textId="112213BB" w:rsidR="380779DA" w:rsidRPr="00725A65" w:rsidRDefault="2E028883" w:rsidP="00C10CCA">
      <w:pPr>
        <w:pStyle w:val="Ttulo3"/>
        <w:shd w:val="clear" w:color="auto" w:fill="FFFFFF" w:themeFill="background1"/>
        <w:spacing w:before="0" w:after="150" w:line="276" w:lineRule="auto"/>
        <w:jc w:val="both"/>
        <w:rPr>
          <w:rFonts w:ascii="Arial" w:hAnsi="Arial" w:cs="Arial"/>
        </w:rPr>
      </w:pPr>
      <w:r w:rsidRPr="00725A65">
        <w:rPr>
          <w:rFonts w:ascii="Arial" w:eastAsia="Helvetica" w:hAnsi="Arial" w:cs="Arial"/>
          <w:b/>
          <w:bCs/>
          <w:caps/>
          <w:color w:val="0A4149"/>
          <w:lang w:val="en-US"/>
        </w:rPr>
        <w:t>Linear Business Models (traditional and unsustainable):</w:t>
      </w:r>
    </w:p>
    <w:p w14:paraId="3EAF9131" w14:textId="5388CB5E" w:rsidR="380779DA" w:rsidRPr="00725A65" w:rsidRDefault="2E028883" w:rsidP="00C10C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Single-use packaging</w:t>
      </w:r>
      <w:r w:rsidRPr="00725A65">
        <w:rPr>
          <w:rFonts w:ascii="Arial" w:eastAsia="Encode Sans" w:hAnsi="Arial" w:cs="Arial"/>
          <w:color w:val="333333"/>
          <w:lang w:val="en-US"/>
        </w:rPr>
        <w:t>: Plastic wraps, cling films—cheap, dirty, done.</w:t>
      </w:r>
    </w:p>
    <w:p w14:paraId="4BC88672" w14:textId="21CD7D4F" w:rsidR="380779DA" w:rsidRPr="00725A65" w:rsidRDefault="2E028883" w:rsidP="00C10C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Bulk packaging:</w:t>
      </w:r>
      <w:r w:rsidRPr="00725A65">
        <w:rPr>
          <w:rFonts w:ascii="Arial" w:eastAsia="Encode Sans" w:hAnsi="Arial" w:cs="Arial"/>
          <w:color w:val="333333"/>
          <w:lang w:val="en-US"/>
        </w:rPr>
        <w:t xml:space="preserve"> Large-volume materials discarded after use.</w:t>
      </w:r>
    </w:p>
    <w:p w14:paraId="4B90CC68" w14:textId="0EC4D0E3" w:rsidR="380779DA" w:rsidRPr="00725A65" w:rsidRDefault="2E028883" w:rsidP="00C10C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Non-recyclable packaging:</w:t>
      </w:r>
      <w:r w:rsidRPr="00725A65">
        <w:rPr>
          <w:rFonts w:ascii="Arial" w:eastAsia="Encode Sans" w:hAnsi="Arial" w:cs="Arial"/>
          <w:color w:val="333333"/>
          <w:lang w:val="en-US"/>
        </w:rPr>
        <w:t xml:space="preserve"> Laminates and composites that defy sorting bins.</w:t>
      </w:r>
    </w:p>
    <w:p w14:paraId="5C512E85" w14:textId="50105F2C" w:rsidR="380779DA" w:rsidRPr="00725A65" w:rsidRDefault="2E028883" w:rsidP="00C10C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Brand-specific packaging:</w:t>
      </w:r>
      <w:r w:rsidRPr="00725A65">
        <w:rPr>
          <w:rFonts w:ascii="Arial" w:eastAsia="Encode Sans" w:hAnsi="Arial" w:cs="Arial"/>
          <w:color w:val="333333"/>
          <w:lang w:val="en-US"/>
        </w:rPr>
        <w:t xml:space="preserve"> Aesthetically distinctive, environmentally dysfunctional.</w:t>
      </w:r>
    </w:p>
    <w:p w14:paraId="1D1D8960" w14:textId="2B947EA2" w:rsidR="380779DA" w:rsidRPr="00725A65" w:rsidRDefault="2E028883" w:rsidP="00C10C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725A65">
        <w:rPr>
          <w:rFonts w:ascii="Arial" w:eastAsia="Encode Sans" w:hAnsi="Arial" w:cs="Arial"/>
          <w:b/>
          <w:bCs/>
          <w:color w:val="333333"/>
          <w:lang w:val="en-US"/>
        </w:rPr>
        <w:t>Disposable packaging:</w:t>
      </w:r>
      <w:r w:rsidRPr="00725A65">
        <w:rPr>
          <w:rFonts w:ascii="Arial" w:eastAsia="Encode Sans" w:hAnsi="Arial" w:cs="Arial"/>
          <w:color w:val="333333"/>
          <w:lang w:val="en-US"/>
        </w:rPr>
        <w:t xml:space="preserve"> The fast food of packaging—convenient, but costly for the planet.</w:t>
      </w:r>
    </w:p>
    <w:p w14:paraId="2285B39B" w14:textId="71331336"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 xml:space="preserve"> </w:t>
      </w:r>
    </w:p>
    <w:p w14:paraId="232BA04F" w14:textId="4E202D2E" w:rsidR="380779DA" w:rsidRPr="00725A65" w:rsidRDefault="2E028883" w:rsidP="00C10CCA">
      <w:pPr>
        <w:shd w:val="clear" w:color="auto" w:fill="FFFFFF" w:themeFill="background1"/>
        <w:spacing w:after="150" w:line="276" w:lineRule="auto"/>
        <w:jc w:val="both"/>
        <w:rPr>
          <w:rFonts w:ascii="Arial" w:hAnsi="Arial" w:cs="Arial"/>
        </w:rPr>
      </w:pPr>
      <w:r w:rsidRPr="00725A65">
        <w:rPr>
          <w:rFonts w:ascii="Arial" w:eastAsia="Encode Sans" w:hAnsi="Arial" w:cs="Arial"/>
          <w:color w:val="333333"/>
          <w:lang w:val="en-US"/>
        </w:rPr>
        <w:t xml:space="preserve">Choosing wisely among these isn’t just a technical or financial </w:t>
      </w:r>
      <w:proofErr w:type="gramStart"/>
      <w:r w:rsidRPr="00725A65">
        <w:rPr>
          <w:rFonts w:ascii="Arial" w:eastAsia="Encode Sans" w:hAnsi="Arial" w:cs="Arial"/>
          <w:color w:val="333333"/>
          <w:lang w:val="en-US"/>
        </w:rPr>
        <w:t>exercise—</w:t>
      </w:r>
      <w:proofErr w:type="gramEnd"/>
      <w:r w:rsidRPr="00725A65">
        <w:rPr>
          <w:rFonts w:ascii="Arial" w:eastAsia="Encode Sans" w:hAnsi="Arial" w:cs="Arial"/>
          <w:color w:val="333333"/>
          <w:lang w:val="en-US"/>
        </w:rPr>
        <w:t>it’s a statement of values and vision. It reflects whether a company is part of the problem or the solution. Whether consumers can trust their sustainability claims. And whether governments will see them as partners or targets in climate and waste policy enforcement.</w:t>
      </w:r>
    </w:p>
    <w:p w14:paraId="1A8A4D02" w14:textId="179B270D" w:rsidR="380779DA" w:rsidRPr="00725A65" w:rsidRDefault="2E028883" w:rsidP="00C10CCA">
      <w:pPr>
        <w:spacing w:after="150" w:line="276" w:lineRule="auto"/>
        <w:jc w:val="both"/>
        <w:rPr>
          <w:rFonts w:ascii="Arial" w:hAnsi="Arial" w:cs="Arial"/>
        </w:rPr>
      </w:pPr>
      <w:r w:rsidRPr="00725A65">
        <w:rPr>
          <w:rFonts w:ascii="Arial" w:eastAsia="Helvetica" w:hAnsi="Arial" w:cs="Arial"/>
          <w:b/>
          <w:bCs/>
          <w:caps/>
          <w:color w:val="0A4149"/>
          <w:lang w:val="en-US"/>
        </w:rPr>
        <w:t>If the business model is the hinge, it’s swinging us toward one of two futures: a circular economy that sustains life—or a linear one that accelerates ecological collapse.</w:t>
      </w:r>
    </w:p>
    <w:p w14:paraId="7AB3EE0B" w14:textId="7AE20056" w:rsidR="380779DA" w:rsidRPr="00725A65" w:rsidRDefault="2E028883" w:rsidP="00C10CCA">
      <w:pPr>
        <w:spacing w:line="276" w:lineRule="auto"/>
        <w:jc w:val="both"/>
        <w:rPr>
          <w:rFonts w:ascii="Arial" w:hAnsi="Arial" w:cs="Arial"/>
        </w:rPr>
      </w:pPr>
      <w:r w:rsidRPr="00725A65">
        <w:rPr>
          <w:rFonts w:ascii="Arial" w:eastAsia="Encode Sans" w:hAnsi="Arial" w:cs="Arial"/>
          <w:color w:val="333333"/>
          <w:lang w:val="en-US"/>
        </w:rPr>
        <w:t>For those seeking a deep dive into how food packaging business models are evolving to meet this challenge, don’t miss this compelling and evidence-rich article created by MAGNO Staff here:</w:t>
      </w:r>
      <w:r w:rsidR="380779DA" w:rsidRPr="00725A65">
        <w:rPr>
          <w:rFonts w:ascii="Arial" w:hAnsi="Arial" w:cs="Arial"/>
        </w:rPr>
        <w:br/>
      </w:r>
      <w:hyperlink r:id="rId10">
        <w:r w:rsidRPr="00725A65">
          <w:rPr>
            <w:rStyle w:val="Hipervnculo"/>
            <w:rFonts w:ascii="Arial" w:eastAsia="Encode Sans" w:hAnsi="Arial" w:cs="Arial"/>
            <w:color w:val="028287"/>
            <w:lang w:val="en-US"/>
          </w:rPr>
          <w:t>Food packaging business models as drivers for sustainability in the food packaging industry</w:t>
        </w:r>
      </w:hyperlink>
    </w:p>
    <w:sectPr w:rsidR="380779DA" w:rsidRPr="00725A6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ECDC6"/>
    <w:multiLevelType w:val="hybridMultilevel"/>
    <w:tmpl w:val="777E7DFE"/>
    <w:lvl w:ilvl="0" w:tplc="E2A45242">
      <w:start w:val="1"/>
      <w:numFmt w:val="bullet"/>
      <w:lvlText w:val=""/>
      <w:lvlJc w:val="left"/>
      <w:pPr>
        <w:ind w:left="720" w:hanging="360"/>
      </w:pPr>
      <w:rPr>
        <w:rFonts w:ascii="Symbol" w:hAnsi="Symbol" w:hint="default"/>
      </w:rPr>
    </w:lvl>
    <w:lvl w:ilvl="1" w:tplc="0BE6D172">
      <w:start w:val="1"/>
      <w:numFmt w:val="bullet"/>
      <w:lvlText w:val="o"/>
      <w:lvlJc w:val="left"/>
      <w:pPr>
        <w:ind w:left="1440" w:hanging="360"/>
      </w:pPr>
      <w:rPr>
        <w:rFonts w:ascii="Courier New" w:hAnsi="Courier New" w:hint="default"/>
      </w:rPr>
    </w:lvl>
    <w:lvl w:ilvl="2" w:tplc="A2ECC4B0">
      <w:start w:val="1"/>
      <w:numFmt w:val="bullet"/>
      <w:lvlText w:val=""/>
      <w:lvlJc w:val="left"/>
      <w:pPr>
        <w:ind w:left="2160" w:hanging="360"/>
      </w:pPr>
      <w:rPr>
        <w:rFonts w:ascii="Wingdings" w:hAnsi="Wingdings" w:hint="default"/>
      </w:rPr>
    </w:lvl>
    <w:lvl w:ilvl="3" w:tplc="31D2B5F0">
      <w:start w:val="1"/>
      <w:numFmt w:val="bullet"/>
      <w:lvlText w:val=""/>
      <w:lvlJc w:val="left"/>
      <w:pPr>
        <w:ind w:left="2880" w:hanging="360"/>
      </w:pPr>
      <w:rPr>
        <w:rFonts w:ascii="Symbol" w:hAnsi="Symbol" w:hint="default"/>
      </w:rPr>
    </w:lvl>
    <w:lvl w:ilvl="4" w:tplc="6EB484A2">
      <w:start w:val="1"/>
      <w:numFmt w:val="bullet"/>
      <w:lvlText w:val="o"/>
      <w:lvlJc w:val="left"/>
      <w:pPr>
        <w:ind w:left="3600" w:hanging="360"/>
      </w:pPr>
      <w:rPr>
        <w:rFonts w:ascii="Courier New" w:hAnsi="Courier New" w:hint="default"/>
      </w:rPr>
    </w:lvl>
    <w:lvl w:ilvl="5" w:tplc="9A30C41C">
      <w:start w:val="1"/>
      <w:numFmt w:val="bullet"/>
      <w:lvlText w:val=""/>
      <w:lvlJc w:val="left"/>
      <w:pPr>
        <w:ind w:left="4320" w:hanging="360"/>
      </w:pPr>
      <w:rPr>
        <w:rFonts w:ascii="Wingdings" w:hAnsi="Wingdings" w:hint="default"/>
      </w:rPr>
    </w:lvl>
    <w:lvl w:ilvl="6" w:tplc="089CA506">
      <w:start w:val="1"/>
      <w:numFmt w:val="bullet"/>
      <w:lvlText w:val=""/>
      <w:lvlJc w:val="left"/>
      <w:pPr>
        <w:ind w:left="5040" w:hanging="360"/>
      </w:pPr>
      <w:rPr>
        <w:rFonts w:ascii="Symbol" w:hAnsi="Symbol" w:hint="default"/>
      </w:rPr>
    </w:lvl>
    <w:lvl w:ilvl="7" w:tplc="639CB9B6">
      <w:start w:val="1"/>
      <w:numFmt w:val="bullet"/>
      <w:lvlText w:val="o"/>
      <w:lvlJc w:val="left"/>
      <w:pPr>
        <w:ind w:left="5760" w:hanging="360"/>
      </w:pPr>
      <w:rPr>
        <w:rFonts w:ascii="Courier New" w:hAnsi="Courier New" w:hint="default"/>
      </w:rPr>
    </w:lvl>
    <w:lvl w:ilvl="8" w:tplc="F46EB448">
      <w:start w:val="1"/>
      <w:numFmt w:val="bullet"/>
      <w:lvlText w:val=""/>
      <w:lvlJc w:val="left"/>
      <w:pPr>
        <w:ind w:left="6480" w:hanging="360"/>
      </w:pPr>
      <w:rPr>
        <w:rFonts w:ascii="Wingdings" w:hAnsi="Wingdings" w:hint="default"/>
      </w:rPr>
    </w:lvl>
  </w:abstractNum>
  <w:abstractNum w:abstractNumId="1" w15:restartNumberingAfterBreak="0">
    <w:nsid w:val="0E74DBDD"/>
    <w:multiLevelType w:val="hybridMultilevel"/>
    <w:tmpl w:val="32D4640C"/>
    <w:lvl w:ilvl="0" w:tplc="AA54CE96">
      <w:start w:val="1"/>
      <w:numFmt w:val="bullet"/>
      <w:lvlText w:val=""/>
      <w:lvlJc w:val="left"/>
      <w:pPr>
        <w:ind w:left="720" w:hanging="360"/>
      </w:pPr>
      <w:rPr>
        <w:rFonts w:ascii="Symbol" w:hAnsi="Symbol" w:hint="default"/>
      </w:rPr>
    </w:lvl>
    <w:lvl w:ilvl="1" w:tplc="E5A482D8">
      <w:start w:val="1"/>
      <w:numFmt w:val="bullet"/>
      <w:lvlText w:val="o"/>
      <w:lvlJc w:val="left"/>
      <w:pPr>
        <w:ind w:left="1440" w:hanging="360"/>
      </w:pPr>
      <w:rPr>
        <w:rFonts w:ascii="Courier New" w:hAnsi="Courier New" w:hint="default"/>
      </w:rPr>
    </w:lvl>
    <w:lvl w:ilvl="2" w:tplc="3F02C2C2">
      <w:start w:val="1"/>
      <w:numFmt w:val="bullet"/>
      <w:lvlText w:val=""/>
      <w:lvlJc w:val="left"/>
      <w:pPr>
        <w:ind w:left="2160" w:hanging="360"/>
      </w:pPr>
      <w:rPr>
        <w:rFonts w:ascii="Wingdings" w:hAnsi="Wingdings" w:hint="default"/>
      </w:rPr>
    </w:lvl>
    <w:lvl w:ilvl="3" w:tplc="0F1E6582">
      <w:start w:val="1"/>
      <w:numFmt w:val="bullet"/>
      <w:lvlText w:val=""/>
      <w:lvlJc w:val="left"/>
      <w:pPr>
        <w:ind w:left="2880" w:hanging="360"/>
      </w:pPr>
      <w:rPr>
        <w:rFonts w:ascii="Symbol" w:hAnsi="Symbol" w:hint="default"/>
      </w:rPr>
    </w:lvl>
    <w:lvl w:ilvl="4" w:tplc="8140D316">
      <w:start w:val="1"/>
      <w:numFmt w:val="bullet"/>
      <w:lvlText w:val="o"/>
      <w:lvlJc w:val="left"/>
      <w:pPr>
        <w:ind w:left="3600" w:hanging="360"/>
      </w:pPr>
      <w:rPr>
        <w:rFonts w:ascii="Courier New" w:hAnsi="Courier New" w:hint="default"/>
      </w:rPr>
    </w:lvl>
    <w:lvl w:ilvl="5" w:tplc="AC0AA12A">
      <w:start w:val="1"/>
      <w:numFmt w:val="bullet"/>
      <w:lvlText w:val=""/>
      <w:lvlJc w:val="left"/>
      <w:pPr>
        <w:ind w:left="4320" w:hanging="360"/>
      </w:pPr>
      <w:rPr>
        <w:rFonts w:ascii="Wingdings" w:hAnsi="Wingdings" w:hint="default"/>
      </w:rPr>
    </w:lvl>
    <w:lvl w:ilvl="6" w:tplc="47226498">
      <w:start w:val="1"/>
      <w:numFmt w:val="bullet"/>
      <w:lvlText w:val=""/>
      <w:lvlJc w:val="left"/>
      <w:pPr>
        <w:ind w:left="5040" w:hanging="360"/>
      </w:pPr>
      <w:rPr>
        <w:rFonts w:ascii="Symbol" w:hAnsi="Symbol" w:hint="default"/>
      </w:rPr>
    </w:lvl>
    <w:lvl w:ilvl="7" w:tplc="B336C118">
      <w:start w:val="1"/>
      <w:numFmt w:val="bullet"/>
      <w:lvlText w:val="o"/>
      <w:lvlJc w:val="left"/>
      <w:pPr>
        <w:ind w:left="5760" w:hanging="360"/>
      </w:pPr>
      <w:rPr>
        <w:rFonts w:ascii="Courier New" w:hAnsi="Courier New" w:hint="default"/>
      </w:rPr>
    </w:lvl>
    <w:lvl w:ilvl="8" w:tplc="4826553E">
      <w:start w:val="1"/>
      <w:numFmt w:val="bullet"/>
      <w:lvlText w:val=""/>
      <w:lvlJc w:val="left"/>
      <w:pPr>
        <w:ind w:left="6480" w:hanging="360"/>
      </w:pPr>
      <w:rPr>
        <w:rFonts w:ascii="Wingdings" w:hAnsi="Wingdings" w:hint="default"/>
      </w:rPr>
    </w:lvl>
  </w:abstractNum>
  <w:abstractNum w:abstractNumId="2" w15:restartNumberingAfterBreak="0">
    <w:nsid w:val="11E96E7F"/>
    <w:multiLevelType w:val="hybridMultilevel"/>
    <w:tmpl w:val="6356687C"/>
    <w:lvl w:ilvl="0" w:tplc="CB34238A">
      <w:start w:val="1"/>
      <w:numFmt w:val="bullet"/>
      <w:lvlText w:val=""/>
      <w:lvlJc w:val="left"/>
      <w:pPr>
        <w:ind w:left="720" w:hanging="360"/>
      </w:pPr>
      <w:rPr>
        <w:rFonts w:ascii="Symbol" w:hAnsi="Symbol" w:hint="default"/>
      </w:rPr>
    </w:lvl>
    <w:lvl w:ilvl="1" w:tplc="F028D37E">
      <w:start w:val="1"/>
      <w:numFmt w:val="bullet"/>
      <w:lvlText w:val="o"/>
      <w:lvlJc w:val="left"/>
      <w:pPr>
        <w:ind w:left="1440" w:hanging="360"/>
      </w:pPr>
      <w:rPr>
        <w:rFonts w:ascii="Courier New" w:hAnsi="Courier New" w:hint="default"/>
      </w:rPr>
    </w:lvl>
    <w:lvl w:ilvl="2" w:tplc="0F6ADC64">
      <w:start w:val="1"/>
      <w:numFmt w:val="bullet"/>
      <w:lvlText w:val=""/>
      <w:lvlJc w:val="left"/>
      <w:pPr>
        <w:ind w:left="2160" w:hanging="360"/>
      </w:pPr>
      <w:rPr>
        <w:rFonts w:ascii="Wingdings" w:hAnsi="Wingdings" w:hint="default"/>
      </w:rPr>
    </w:lvl>
    <w:lvl w:ilvl="3" w:tplc="92426490">
      <w:start w:val="1"/>
      <w:numFmt w:val="bullet"/>
      <w:lvlText w:val=""/>
      <w:lvlJc w:val="left"/>
      <w:pPr>
        <w:ind w:left="2880" w:hanging="360"/>
      </w:pPr>
      <w:rPr>
        <w:rFonts w:ascii="Symbol" w:hAnsi="Symbol" w:hint="default"/>
      </w:rPr>
    </w:lvl>
    <w:lvl w:ilvl="4" w:tplc="829896BE">
      <w:start w:val="1"/>
      <w:numFmt w:val="bullet"/>
      <w:lvlText w:val="o"/>
      <w:lvlJc w:val="left"/>
      <w:pPr>
        <w:ind w:left="3600" w:hanging="360"/>
      </w:pPr>
      <w:rPr>
        <w:rFonts w:ascii="Courier New" w:hAnsi="Courier New" w:hint="default"/>
      </w:rPr>
    </w:lvl>
    <w:lvl w:ilvl="5" w:tplc="726C08A8">
      <w:start w:val="1"/>
      <w:numFmt w:val="bullet"/>
      <w:lvlText w:val=""/>
      <w:lvlJc w:val="left"/>
      <w:pPr>
        <w:ind w:left="4320" w:hanging="360"/>
      </w:pPr>
      <w:rPr>
        <w:rFonts w:ascii="Wingdings" w:hAnsi="Wingdings" w:hint="default"/>
      </w:rPr>
    </w:lvl>
    <w:lvl w:ilvl="6" w:tplc="67827078">
      <w:start w:val="1"/>
      <w:numFmt w:val="bullet"/>
      <w:lvlText w:val=""/>
      <w:lvlJc w:val="left"/>
      <w:pPr>
        <w:ind w:left="5040" w:hanging="360"/>
      </w:pPr>
      <w:rPr>
        <w:rFonts w:ascii="Symbol" w:hAnsi="Symbol" w:hint="default"/>
      </w:rPr>
    </w:lvl>
    <w:lvl w:ilvl="7" w:tplc="43E4FF9A">
      <w:start w:val="1"/>
      <w:numFmt w:val="bullet"/>
      <w:lvlText w:val="o"/>
      <w:lvlJc w:val="left"/>
      <w:pPr>
        <w:ind w:left="5760" w:hanging="360"/>
      </w:pPr>
      <w:rPr>
        <w:rFonts w:ascii="Courier New" w:hAnsi="Courier New" w:hint="default"/>
      </w:rPr>
    </w:lvl>
    <w:lvl w:ilvl="8" w:tplc="40B25878">
      <w:start w:val="1"/>
      <w:numFmt w:val="bullet"/>
      <w:lvlText w:val=""/>
      <w:lvlJc w:val="left"/>
      <w:pPr>
        <w:ind w:left="6480" w:hanging="360"/>
      </w:pPr>
      <w:rPr>
        <w:rFonts w:ascii="Wingdings" w:hAnsi="Wingdings" w:hint="default"/>
      </w:rPr>
    </w:lvl>
  </w:abstractNum>
  <w:abstractNum w:abstractNumId="3" w15:restartNumberingAfterBreak="0">
    <w:nsid w:val="2D468B97"/>
    <w:multiLevelType w:val="hybridMultilevel"/>
    <w:tmpl w:val="B1824E4C"/>
    <w:lvl w:ilvl="0" w:tplc="50484BE4">
      <w:start w:val="1"/>
      <w:numFmt w:val="bullet"/>
      <w:lvlText w:val=""/>
      <w:lvlJc w:val="left"/>
      <w:pPr>
        <w:ind w:left="720" w:hanging="360"/>
      </w:pPr>
      <w:rPr>
        <w:rFonts w:ascii="Symbol" w:hAnsi="Symbol" w:hint="default"/>
      </w:rPr>
    </w:lvl>
    <w:lvl w:ilvl="1" w:tplc="EC1EF760">
      <w:start w:val="1"/>
      <w:numFmt w:val="bullet"/>
      <w:lvlText w:val="o"/>
      <w:lvlJc w:val="left"/>
      <w:pPr>
        <w:ind w:left="1440" w:hanging="360"/>
      </w:pPr>
      <w:rPr>
        <w:rFonts w:ascii="Courier New" w:hAnsi="Courier New" w:hint="default"/>
      </w:rPr>
    </w:lvl>
    <w:lvl w:ilvl="2" w:tplc="AEC690F6">
      <w:start w:val="1"/>
      <w:numFmt w:val="bullet"/>
      <w:lvlText w:val=""/>
      <w:lvlJc w:val="left"/>
      <w:pPr>
        <w:ind w:left="2160" w:hanging="360"/>
      </w:pPr>
      <w:rPr>
        <w:rFonts w:ascii="Wingdings" w:hAnsi="Wingdings" w:hint="default"/>
      </w:rPr>
    </w:lvl>
    <w:lvl w:ilvl="3" w:tplc="CCF680A6">
      <w:start w:val="1"/>
      <w:numFmt w:val="bullet"/>
      <w:lvlText w:val=""/>
      <w:lvlJc w:val="left"/>
      <w:pPr>
        <w:ind w:left="2880" w:hanging="360"/>
      </w:pPr>
      <w:rPr>
        <w:rFonts w:ascii="Symbol" w:hAnsi="Symbol" w:hint="default"/>
      </w:rPr>
    </w:lvl>
    <w:lvl w:ilvl="4" w:tplc="D388BEA6">
      <w:start w:val="1"/>
      <w:numFmt w:val="bullet"/>
      <w:lvlText w:val="o"/>
      <w:lvlJc w:val="left"/>
      <w:pPr>
        <w:ind w:left="3600" w:hanging="360"/>
      </w:pPr>
      <w:rPr>
        <w:rFonts w:ascii="Courier New" w:hAnsi="Courier New" w:hint="default"/>
      </w:rPr>
    </w:lvl>
    <w:lvl w:ilvl="5" w:tplc="892CFDC8">
      <w:start w:val="1"/>
      <w:numFmt w:val="bullet"/>
      <w:lvlText w:val=""/>
      <w:lvlJc w:val="left"/>
      <w:pPr>
        <w:ind w:left="4320" w:hanging="360"/>
      </w:pPr>
      <w:rPr>
        <w:rFonts w:ascii="Wingdings" w:hAnsi="Wingdings" w:hint="default"/>
      </w:rPr>
    </w:lvl>
    <w:lvl w:ilvl="6" w:tplc="8D322ADE">
      <w:start w:val="1"/>
      <w:numFmt w:val="bullet"/>
      <w:lvlText w:val=""/>
      <w:lvlJc w:val="left"/>
      <w:pPr>
        <w:ind w:left="5040" w:hanging="360"/>
      </w:pPr>
      <w:rPr>
        <w:rFonts w:ascii="Symbol" w:hAnsi="Symbol" w:hint="default"/>
      </w:rPr>
    </w:lvl>
    <w:lvl w:ilvl="7" w:tplc="DE8ACDB6">
      <w:start w:val="1"/>
      <w:numFmt w:val="bullet"/>
      <w:lvlText w:val="o"/>
      <w:lvlJc w:val="left"/>
      <w:pPr>
        <w:ind w:left="5760" w:hanging="360"/>
      </w:pPr>
      <w:rPr>
        <w:rFonts w:ascii="Courier New" w:hAnsi="Courier New" w:hint="default"/>
      </w:rPr>
    </w:lvl>
    <w:lvl w:ilvl="8" w:tplc="5830BCC2">
      <w:start w:val="1"/>
      <w:numFmt w:val="bullet"/>
      <w:lvlText w:val=""/>
      <w:lvlJc w:val="left"/>
      <w:pPr>
        <w:ind w:left="6480" w:hanging="360"/>
      </w:pPr>
      <w:rPr>
        <w:rFonts w:ascii="Wingdings" w:hAnsi="Wingdings" w:hint="default"/>
      </w:rPr>
    </w:lvl>
  </w:abstractNum>
  <w:abstractNum w:abstractNumId="4" w15:restartNumberingAfterBreak="0">
    <w:nsid w:val="38DB9971"/>
    <w:multiLevelType w:val="hybridMultilevel"/>
    <w:tmpl w:val="4A5ADCF2"/>
    <w:lvl w:ilvl="0" w:tplc="E5BABD6E">
      <w:start w:val="1"/>
      <w:numFmt w:val="bullet"/>
      <w:lvlText w:val=""/>
      <w:lvlJc w:val="left"/>
      <w:pPr>
        <w:ind w:left="720" w:hanging="360"/>
      </w:pPr>
      <w:rPr>
        <w:rFonts w:ascii="Symbol" w:hAnsi="Symbol" w:hint="default"/>
      </w:rPr>
    </w:lvl>
    <w:lvl w:ilvl="1" w:tplc="D5825F56">
      <w:start w:val="1"/>
      <w:numFmt w:val="bullet"/>
      <w:lvlText w:val="o"/>
      <w:lvlJc w:val="left"/>
      <w:pPr>
        <w:ind w:left="1440" w:hanging="360"/>
      </w:pPr>
      <w:rPr>
        <w:rFonts w:ascii="Courier New" w:hAnsi="Courier New" w:hint="default"/>
      </w:rPr>
    </w:lvl>
    <w:lvl w:ilvl="2" w:tplc="DE003268">
      <w:start w:val="1"/>
      <w:numFmt w:val="bullet"/>
      <w:lvlText w:val=""/>
      <w:lvlJc w:val="left"/>
      <w:pPr>
        <w:ind w:left="2160" w:hanging="360"/>
      </w:pPr>
      <w:rPr>
        <w:rFonts w:ascii="Wingdings" w:hAnsi="Wingdings" w:hint="default"/>
      </w:rPr>
    </w:lvl>
    <w:lvl w:ilvl="3" w:tplc="2844049C">
      <w:start w:val="1"/>
      <w:numFmt w:val="bullet"/>
      <w:lvlText w:val=""/>
      <w:lvlJc w:val="left"/>
      <w:pPr>
        <w:ind w:left="2880" w:hanging="360"/>
      </w:pPr>
      <w:rPr>
        <w:rFonts w:ascii="Symbol" w:hAnsi="Symbol" w:hint="default"/>
      </w:rPr>
    </w:lvl>
    <w:lvl w:ilvl="4" w:tplc="18781D9E">
      <w:start w:val="1"/>
      <w:numFmt w:val="bullet"/>
      <w:lvlText w:val="o"/>
      <w:lvlJc w:val="left"/>
      <w:pPr>
        <w:ind w:left="3600" w:hanging="360"/>
      </w:pPr>
      <w:rPr>
        <w:rFonts w:ascii="Courier New" w:hAnsi="Courier New" w:hint="default"/>
      </w:rPr>
    </w:lvl>
    <w:lvl w:ilvl="5" w:tplc="94C6029C">
      <w:start w:val="1"/>
      <w:numFmt w:val="bullet"/>
      <w:lvlText w:val=""/>
      <w:lvlJc w:val="left"/>
      <w:pPr>
        <w:ind w:left="4320" w:hanging="360"/>
      </w:pPr>
      <w:rPr>
        <w:rFonts w:ascii="Wingdings" w:hAnsi="Wingdings" w:hint="default"/>
      </w:rPr>
    </w:lvl>
    <w:lvl w:ilvl="6" w:tplc="8D603CCC">
      <w:start w:val="1"/>
      <w:numFmt w:val="bullet"/>
      <w:lvlText w:val=""/>
      <w:lvlJc w:val="left"/>
      <w:pPr>
        <w:ind w:left="5040" w:hanging="360"/>
      </w:pPr>
      <w:rPr>
        <w:rFonts w:ascii="Symbol" w:hAnsi="Symbol" w:hint="default"/>
      </w:rPr>
    </w:lvl>
    <w:lvl w:ilvl="7" w:tplc="AA645DE4">
      <w:start w:val="1"/>
      <w:numFmt w:val="bullet"/>
      <w:lvlText w:val="o"/>
      <w:lvlJc w:val="left"/>
      <w:pPr>
        <w:ind w:left="5760" w:hanging="360"/>
      </w:pPr>
      <w:rPr>
        <w:rFonts w:ascii="Courier New" w:hAnsi="Courier New" w:hint="default"/>
      </w:rPr>
    </w:lvl>
    <w:lvl w:ilvl="8" w:tplc="47D4F47C">
      <w:start w:val="1"/>
      <w:numFmt w:val="bullet"/>
      <w:lvlText w:val=""/>
      <w:lvlJc w:val="left"/>
      <w:pPr>
        <w:ind w:left="6480" w:hanging="360"/>
      </w:pPr>
      <w:rPr>
        <w:rFonts w:ascii="Wingdings" w:hAnsi="Wingdings" w:hint="default"/>
      </w:rPr>
    </w:lvl>
  </w:abstractNum>
  <w:abstractNum w:abstractNumId="5" w15:restartNumberingAfterBreak="0">
    <w:nsid w:val="559F64E8"/>
    <w:multiLevelType w:val="hybridMultilevel"/>
    <w:tmpl w:val="0136BA1E"/>
    <w:lvl w:ilvl="0" w:tplc="AC7C8BAA">
      <w:start w:val="1"/>
      <w:numFmt w:val="bullet"/>
      <w:lvlText w:val=""/>
      <w:lvlJc w:val="left"/>
      <w:pPr>
        <w:ind w:left="720" w:hanging="360"/>
      </w:pPr>
      <w:rPr>
        <w:rFonts w:ascii="Symbol" w:hAnsi="Symbol" w:hint="default"/>
      </w:rPr>
    </w:lvl>
    <w:lvl w:ilvl="1" w:tplc="59FC8B28">
      <w:start w:val="1"/>
      <w:numFmt w:val="bullet"/>
      <w:lvlText w:val="o"/>
      <w:lvlJc w:val="left"/>
      <w:pPr>
        <w:ind w:left="1440" w:hanging="360"/>
      </w:pPr>
      <w:rPr>
        <w:rFonts w:ascii="Courier New" w:hAnsi="Courier New" w:hint="default"/>
      </w:rPr>
    </w:lvl>
    <w:lvl w:ilvl="2" w:tplc="00ECDA0E">
      <w:start w:val="1"/>
      <w:numFmt w:val="bullet"/>
      <w:lvlText w:val=""/>
      <w:lvlJc w:val="left"/>
      <w:pPr>
        <w:ind w:left="2160" w:hanging="360"/>
      </w:pPr>
      <w:rPr>
        <w:rFonts w:ascii="Wingdings" w:hAnsi="Wingdings" w:hint="default"/>
      </w:rPr>
    </w:lvl>
    <w:lvl w:ilvl="3" w:tplc="0852B0EC">
      <w:start w:val="1"/>
      <w:numFmt w:val="bullet"/>
      <w:lvlText w:val=""/>
      <w:lvlJc w:val="left"/>
      <w:pPr>
        <w:ind w:left="2880" w:hanging="360"/>
      </w:pPr>
      <w:rPr>
        <w:rFonts w:ascii="Symbol" w:hAnsi="Symbol" w:hint="default"/>
      </w:rPr>
    </w:lvl>
    <w:lvl w:ilvl="4" w:tplc="E1C24A4C">
      <w:start w:val="1"/>
      <w:numFmt w:val="bullet"/>
      <w:lvlText w:val="o"/>
      <w:lvlJc w:val="left"/>
      <w:pPr>
        <w:ind w:left="3600" w:hanging="360"/>
      </w:pPr>
      <w:rPr>
        <w:rFonts w:ascii="Courier New" w:hAnsi="Courier New" w:hint="default"/>
      </w:rPr>
    </w:lvl>
    <w:lvl w:ilvl="5" w:tplc="B742EEBC">
      <w:start w:val="1"/>
      <w:numFmt w:val="bullet"/>
      <w:lvlText w:val=""/>
      <w:lvlJc w:val="left"/>
      <w:pPr>
        <w:ind w:left="4320" w:hanging="360"/>
      </w:pPr>
      <w:rPr>
        <w:rFonts w:ascii="Wingdings" w:hAnsi="Wingdings" w:hint="default"/>
      </w:rPr>
    </w:lvl>
    <w:lvl w:ilvl="6" w:tplc="3CDE7CDE">
      <w:start w:val="1"/>
      <w:numFmt w:val="bullet"/>
      <w:lvlText w:val=""/>
      <w:lvlJc w:val="left"/>
      <w:pPr>
        <w:ind w:left="5040" w:hanging="360"/>
      </w:pPr>
      <w:rPr>
        <w:rFonts w:ascii="Symbol" w:hAnsi="Symbol" w:hint="default"/>
      </w:rPr>
    </w:lvl>
    <w:lvl w:ilvl="7" w:tplc="DAD24070">
      <w:start w:val="1"/>
      <w:numFmt w:val="bullet"/>
      <w:lvlText w:val="o"/>
      <w:lvlJc w:val="left"/>
      <w:pPr>
        <w:ind w:left="5760" w:hanging="360"/>
      </w:pPr>
      <w:rPr>
        <w:rFonts w:ascii="Courier New" w:hAnsi="Courier New" w:hint="default"/>
      </w:rPr>
    </w:lvl>
    <w:lvl w:ilvl="8" w:tplc="965CF11C">
      <w:start w:val="1"/>
      <w:numFmt w:val="bullet"/>
      <w:lvlText w:val=""/>
      <w:lvlJc w:val="left"/>
      <w:pPr>
        <w:ind w:left="6480" w:hanging="360"/>
      </w:pPr>
      <w:rPr>
        <w:rFonts w:ascii="Wingdings" w:hAnsi="Wingdings" w:hint="default"/>
      </w:rPr>
    </w:lvl>
  </w:abstractNum>
  <w:num w:numId="1" w16cid:durableId="953439508">
    <w:abstractNumId w:val="2"/>
  </w:num>
  <w:num w:numId="2" w16cid:durableId="698118077">
    <w:abstractNumId w:val="5"/>
  </w:num>
  <w:num w:numId="3" w16cid:durableId="1399861440">
    <w:abstractNumId w:val="0"/>
  </w:num>
  <w:num w:numId="4" w16cid:durableId="1932157589">
    <w:abstractNumId w:val="4"/>
  </w:num>
  <w:num w:numId="5" w16cid:durableId="1277787997">
    <w:abstractNumId w:val="1"/>
  </w:num>
  <w:num w:numId="6" w16cid:durableId="1370687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9A9A7D"/>
    <w:rsid w:val="00725A65"/>
    <w:rsid w:val="00734FAB"/>
    <w:rsid w:val="0093ED3F"/>
    <w:rsid w:val="00C10CCA"/>
    <w:rsid w:val="00C52CC8"/>
    <w:rsid w:val="00C671F2"/>
    <w:rsid w:val="02E9CD97"/>
    <w:rsid w:val="0BCC0FCB"/>
    <w:rsid w:val="1693FA38"/>
    <w:rsid w:val="2CCE0B12"/>
    <w:rsid w:val="2E028883"/>
    <w:rsid w:val="2FD50174"/>
    <w:rsid w:val="380779DA"/>
    <w:rsid w:val="3F4C69B6"/>
    <w:rsid w:val="42FB2B40"/>
    <w:rsid w:val="473FEF08"/>
    <w:rsid w:val="6F9A9A7D"/>
    <w:rsid w:val="7B0149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ED36"/>
  <w15:chartTrackingRefBased/>
  <w15:docId w15:val="{046A59F8-36BA-491A-B838-67F4D5EE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2E9CD97"/>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tulo2">
    <w:name w:val="heading 2"/>
    <w:basedOn w:val="Normal"/>
    <w:next w:val="Normal"/>
    <w:uiPriority w:val="9"/>
    <w:unhideWhenUsed/>
    <w:qFormat/>
    <w:rsid w:val="02E9CD97"/>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2CCE0B12"/>
    <w:pPr>
      <w:keepNext/>
      <w:keepLines/>
      <w:spacing w:before="160" w:after="80"/>
      <w:outlineLvl w:val="2"/>
    </w:pPr>
    <w:rPr>
      <w:rFonts w:eastAsiaTheme="minorEastAsia" w:cstheme="majorEastAsia"/>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3ED3F"/>
    <w:rPr>
      <w:color w:val="467886"/>
      <w:u w:val="single"/>
    </w:rPr>
  </w:style>
  <w:style w:type="paragraph" w:styleId="Prrafodelista">
    <w:name w:val="List Paragraph"/>
    <w:basedOn w:val="Normal"/>
    <w:uiPriority w:val="34"/>
    <w:qFormat/>
    <w:rsid w:val="2CCE0B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frontiersin.org/journals/sustainable-food-systems/articles/10.3389/fsufs.2025.1563904/abstract"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6FBF5D16-BB22-45F0-BC3A-5BB08BD9E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7C9F9C-2684-463E-8CD1-754A6D3FF20E}">
  <ds:schemaRefs>
    <ds:schemaRef ds:uri="http://schemas.microsoft.com/sharepoint/v3/contenttype/forms"/>
  </ds:schemaRefs>
</ds:datastoreItem>
</file>

<file path=customXml/itemProps3.xml><?xml version="1.0" encoding="utf-8"?>
<ds:datastoreItem xmlns:ds="http://schemas.openxmlformats.org/officeDocument/2006/customXml" ds:itemID="{C53EAD1B-A507-47C8-884B-AFC49041DBB6}">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4845</Characters>
  <Application>Microsoft Office Word</Application>
  <DocSecurity>0</DocSecurity>
  <Lines>40</Lines>
  <Paragraphs>11</Paragraphs>
  <ScaleCrop>false</ScaleCrop>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3</cp:revision>
  <dcterms:created xsi:type="dcterms:W3CDTF">2025-05-19T13:21:00Z</dcterms:created>
  <dcterms:modified xsi:type="dcterms:W3CDTF">2026-09-14T08:06:00Z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