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F7FF" w14:textId="6841B3C9" w:rsidR="00811550" w:rsidRPr="0088653A" w:rsidRDefault="61D2D109" w:rsidP="450EA2CA">
      <w:pPr>
        <w:pStyle w:val="Ttulo2"/>
        <w:spacing w:before="240" w:after="240" w:line="276" w:lineRule="auto"/>
        <w:jc w:val="both"/>
        <w:rPr>
          <w:rFonts w:ascii="Arial" w:eastAsia="Helvetica" w:hAnsi="Arial" w:cs="Arial"/>
          <w:b/>
          <w:bCs/>
          <w:caps/>
          <w:color w:val="0A4149"/>
          <w:sz w:val="36"/>
          <w:szCs w:val="36"/>
        </w:rPr>
      </w:pPr>
      <w:r w:rsidRPr="0088653A">
        <w:rPr>
          <w:rFonts w:ascii="Arial" w:eastAsia="Helvetica" w:hAnsi="Arial" w:cs="Arial"/>
          <w:b/>
          <w:bCs/>
          <w:caps/>
          <w:color w:val="0A4149"/>
          <w:sz w:val="36"/>
          <w:szCs w:val="36"/>
        </w:rPr>
        <w:t>Sorting the Truth: How EU Waste Management Systems Shape What We Throw Away</w:t>
      </w:r>
    </w:p>
    <w:p w14:paraId="22E35AA2" w14:textId="443023CD" w:rsidR="00811550" w:rsidRPr="0088653A" w:rsidRDefault="00811550" w:rsidP="450EA2CA">
      <w:pPr>
        <w:shd w:val="clear" w:color="auto" w:fill="FFFFFF" w:themeFill="background1"/>
        <w:spacing w:after="150" w:line="276" w:lineRule="auto"/>
        <w:jc w:val="both"/>
        <w:rPr>
          <w:rFonts w:ascii="Arial" w:eastAsia="Encode Sans" w:hAnsi="Arial" w:cs="Arial"/>
          <w:color w:val="333333"/>
        </w:rPr>
      </w:pPr>
    </w:p>
    <w:p w14:paraId="53D390B9" w14:textId="19E453CB"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The way a society handles its waste says more about it than most official reports ever will. In Europe, waste management is framed as a civic duty—recycle, separate, compost, repeat </w:t>
      </w:r>
      <w:proofErr w:type="gramStart"/>
      <w:r w:rsidRPr="0088653A">
        <w:rPr>
          <w:rFonts w:ascii="Arial" w:eastAsia="Encode Sans" w:hAnsi="Arial" w:cs="Arial"/>
          <w:color w:val="333333"/>
        </w:rPr>
        <w:t>lifting</w:t>
      </w:r>
      <w:proofErr w:type="gramEnd"/>
      <w:r w:rsidRPr="0088653A">
        <w:rPr>
          <w:rFonts w:ascii="Arial" w:eastAsia="Encode Sans" w:hAnsi="Arial" w:cs="Arial"/>
          <w:color w:val="333333"/>
        </w:rPr>
        <w:t xml:space="preserve"> responsabilities for producers. This could be seen as an ideological bias. Anyway, beneath the neatly colored bins and national campaigns lies a patchwork of wildly different systems, ambitions, and results. Mapping the EU’s national waste management frameworks reveals a truth that should interest every consumer: where you live, the income you have or in fact government ideology determines whether your waste becomes a resource or a liability. </w:t>
      </w:r>
    </w:p>
    <w:p w14:paraId="624E6FD3" w14:textId="1BED587B"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 </w:t>
      </w:r>
    </w:p>
    <w:p w14:paraId="4D01ECD7" w14:textId="395D8922" w:rsidR="00811550" w:rsidRPr="0088653A" w:rsidRDefault="61D2D109" w:rsidP="450EA2CA">
      <w:pPr>
        <w:pStyle w:val="Ttulo3"/>
        <w:shd w:val="clear" w:color="auto" w:fill="FFFFFF" w:themeFill="background1"/>
        <w:spacing w:before="0" w:after="150" w:line="276" w:lineRule="auto"/>
        <w:jc w:val="both"/>
        <w:rPr>
          <w:rFonts w:ascii="Arial" w:hAnsi="Arial" w:cs="Arial"/>
        </w:rPr>
      </w:pPr>
      <w:r w:rsidRPr="0088653A">
        <w:rPr>
          <w:rFonts w:ascii="Arial" w:eastAsia="Helvetica" w:hAnsi="Arial" w:cs="Arial"/>
          <w:b/>
          <w:bCs/>
          <w:caps/>
          <w:color w:val="0A4149"/>
        </w:rPr>
        <w:t xml:space="preserve">Waste Management in the EU: United in Law, Divided in Practice </w:t>
      </w:r>
    </w:p>
    <w:p w14:paraId="078B0855" w14:textId="6EA6445E"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At the European level, there is no shortage of directives, strategies, and targets. The </w:t>
      </w:r>
      <w:r w:rsidRPr="0088653A">
        <w:rPr>
          <w:rFonts w:ascii="Arial" w:eastAsia="Encode Sans" w:hAnsi="Arial" w:cs="Arial"/>
          <w:b/>
          <w:bCs/>
          <w:color w:val="333333"/>
        </w:rPr>
        <w:t>EU Waste Framework Directive</w:t>
      </w:r>
      <w:r w:rsidRPr="0088653A">
        <w:rPr>
          <w:rFonts w:ascii="Arial" w:eastAsia="Encode Sans" w:hAnsi="Arial" w:cs="Arial"/>
          <w:color w:val="333333"/>
        </w:rPr>
        <w:t xml:space="preserve"> (WFD) sets the tone with a clear theoretical hierarchy: prevention first, then reuse, recycling, recovery, and—lastly—disposal. It aims to move member states toward a circular economy, where waste is not an afterthought but a raw material. </w:t>
      </w:r>
    </w:p>
    <w:p w14:paraId="09629693" w14:textId="4A3EE755"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But the </w:t>
      </w:r>
      <w:proofErr w:type="gramStart"/>
      <w:r w:rsidRPr="0088653A">
        <w:rPr>
          <w:rFonts w:ascii="Arial" w:eastAsia="Encode Sans" w:hAnsi="Arial" w:cs="Arial"/>
          <w:color w:val="333333"/>
        </w:rPr>
        <w:t>reality</w:t>
      </w:r>
      <w:proofErr w:type="gramEnd"/>
      <w:r w:rsidRPr="0088653A">
        <w:rPr>
          <w:rFonts w:ascii="Arial" w:eastAsia="Encode Sans" w:hAnsi="Arial" w:cs="Arial"/>
          <w:color w:val="333333"/>
        </w:rPr>
        <w:t xml:space="preserve"> across the 27 member states varies drastically: </w:t>
      </w:r>
    </w:p>
    <w:p w14:paraId="13C8AAC4" w14:textId="537454F1" w:rsidR="00811550" w:rsidRPr="0088653A" w:rsidRDefault="00811550" w:rsidP="450EA2CA">
      <w:pPr>
        <w:pStyle w:val="Ttulo4"/>
        <w:shd w:val="clear" w:color="auto" w:fill="FFFFFF" w:themeFill="background1"/>
        <w:spacing w:before="0" w:after="150" w:line="276" w:lineRule="auto"/>
        <w:jc w:val="both"/>
        <w:rPr>
          <w:rFonts w:ascii="Arial" w:eastAsia="Helvetica" w:hAnsi="Arial" w:cs="Arial"/>
          <w:b/>
          <w:bCs/>
          <w:i w:val="0"/>
          <w:iCs w:val="0"/>
          <w:caps/>
          <w:color w:val="0A4149"/>
        </w:rPr>
      </w:pPr>
    </w:p>
    <w:p w14:paraId="54EBCD58" w14:textId="23E3C23D" w:rsidR="00811550" w:rsidRPr="0088653A" w:rsidRDefault="61D2D109" w:rsidP="450EA2CA">
      <w:pPr>
        <w:pStyle w:val="Ttulo4"/>
        <w:shd w:val="clear" w:color="auto" w:fill="FFFFFF" w:themeFill="background1"/>
        <w:spacing w:before="0" w:after="150" w:line="276" w:lineRule="auto"/>
        <w:jc w:val="both"/>
        <w:rPr>
          <w:rFonts w:ascii="Arial" w:hAnsi="Arial" w:cs="Arial"/>
          <w:sz w:val="28"/>
          <w:szCs w:val="28"/>
        </w:rPr>
      </w:pPr>
      <w:r w:rsidRPr="0088653A">
        <w:rPr>
          <w:rFonts w:ascii="Arial" w:eastAsia="Helvetica" w:hAnsi="Arial" w:cs="Arial"/>
          <w:b/>
          <w:bCs/>
          <w:i w:val="0"/>
          <w:iCs w:val="0"/>
          <w:caps/>
          <w:color w:val="0A4149"/>
          <w:sz w:val="28"/>
          <w:szCs w:val="28"/>
        </w:rPr>
        <w:t xml:space="preserve">Leading Performers </w:t>
      </w:r>
    </w:p>
    <w:p w14:paraId="4505EC42" w14:textId="0B285632"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These countries combine high recycling rates with strong policy frameworks and infrastructure: </w:t>
      </w:r>
    </w:p>
    <w:p w14:paraId="3CE6BB10" w14:textId="4FB2173A"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Germany</w:t>
      </w:r>
      <w:r w:rsidRPr="0088653A">
        <w:rPr>
          <w:rFonts w:ascii="Arial" w:eastAsia="Encode Sans" w:hAnsi="Arial" w:cs="Arial"/>
          <w:color w:val="333333"/>
        </w:rPr>
        <w:t xml:space="preserve">: The EU’s poster child for waste management, with a dual system separating packaging (via the Green Dot scheme) and general waste. Over 65% of municipal waste is recycled, though critics argue the actual reuse rate is lower. </w:t>
      </w:r>
    </w:p>
    <w:p w14:paraId="06AD9507" w14:textId="51282AEA"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Austria</w:t>
      </w:r>
      <w:r w:rsidRPr="0088653A">
        <w:rPr>
          <w:rFonts w:ascii="Arial" w:eastAsia="Encode Sans" w:hAnsi="Arial" w:cs="Arial"/>
          <w:color w:val="333333"/>
        </w:rPr>
        <w:t xml:space="preserve">: Known for its high organic waste recovery and strict landfill bans. Landfilling of untreated waste is prohibited, pushing investment in recycling and incineration. </w:t>
      </w:r>
    </w:p>
    <w:p w14:paraId="00B29E45" w14:textId="45B14AE2"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Slovenia</w:t>
      </w:r>
      <w:r w:rsidRPr="0088653A">
        <w:rPr>
          <w:rFonts w:ascii="Arial" w:eastAsia="Encode Sans" w:hAnsi="Arial" w:cs="Arial"/>
          <w:color w:val="333333"/>
        </w:rPr>
        <w:t xml:space="preserve">: A surprise leader, particularly Ljubljana—the first EU capital to adopt a zero-waste strategy. Slovenia’s recycling rate is above 58%, achieved through door-to-door collection and extensive citizen education. </w:t>
      </w:r>
    </w:p>
    <w:p w14:paraId="669736F9" w14:textId="1D03F3F9"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lastRenderedPageBreak/>
        <w:t>The Netherlands</w:t>
      </w:r>
      <w:r w:rsidRPr="0088653A">
        <w:rPr>
          <w:rFonts w:ascii="Arial" w:eastAsia="Encode Sans" w:hAnsi="Arial" w:cs="Arial"/>
          <w:color w:val="333333"/>
        </w:rPr>
        <w:t xml:space="preserve">: Combines recycling with efficient waste-to-energy incineration. The country aims for a fully circular economy by 2050, but critics point out that incineration still dominates. </w:t>
      </w:r>
    </w:p>
    <w:p w14:paraId="55C06403" w14:textId="2BF372DD"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Belgium</w:t>
      </w:r>
      <w:r w:rsidRPr="0088653A">
        <w:rPr>
          <w:rFonts w:ascii="Arial" w:eastAsia="Encode Sans" w:hAnsi="Arial" w:cs="Arial"/>
          <w:color w:val="333333"/>
        </w:rPr>
        <w:t xml:space="preserve">: Particularly Flanders, which has one of the highest waste diversion rates in Europe. Separate collection of organics, packaging, textiles, and hazardous waste is widely implemented. </w:t>
      </w:r>
    </w:p>
    <w:p w14:paraId="05CC7C5E" w14:textId="5730A56A" w:rsidR="00811550" w:rsidRPr="0088653A" w:rsidRDefault="00811550" w:rsidP="450EA2CA">
      <w:pPr>
        <w:pStyle w:val="Ttulo4"/>
        <w:shd w:val="clear" w:color="auto" w:fill="FFFFFF" w:themeFill="background1"/>
        <w:spacing w:before="0" w:after="150" w:line="276" w:lineRule="auto"/>
        <w:jc w:val="both"/>
        <w:rPr>
          <w:rFonts w:ascii="Arial" w:eastAsia="Helvetica" w:hAnsi="Arial" w:cs="Arial"/>
          <w:b/>
          <w:bCs/>
          <w:i w:val="0"/>
          <w:iCs w:val="0"/>
          <w:caps/>
          <w:color w:val="0A4149"/>
        </w:rPr>
      </w:pPr>
    </w:p>
    <w:p w14:paraId="658CB904" w14:textId="47D737D0" w:rsidR="00811550" w:rsidRPr="0088653A" w:rsidRDefault="61D2D109" w:rsidP="450EA2CA">
      <w:pPr>
        <w:pStyle w:val="Ttulo4"/>
        <w:shd w:val="clear" w:color="auto" w:fill="FFFFFF" w:themeFill="background1"/>
        <w:spacing w:before="0" w:after="150" w:line="276" w:lineRule="auto"/>
        <w:jc w:val="both"/>
        <w:rPr>
          <w:rFonts w:ascii="Arial" w:hAnsi="Arial" w:cs="Arial"/>
          <w:sz w:val="28"/>
          <w:szCs w:val="28"/>
        </w:rPr>
      </w:pPr>
      <w:r w:rsidRPr="0088653A">
        <w:rPr>
          <w:rFonts w:ascii="Arial" w:eastAsia="Helvetica" w:hAnsi="Arial" w:cs="Arial"/>
          <w:b/>
          <w:bCs/>
          <w:i w:val="0"/>
          <w:iCs w:val="0"/>
          <w:caps/>
          <w:color w:val="0A4149"/>
          <w:sz w:val="28"/>
          <w:szCs w:val="28"/>
        </w:rPr>
        <w:t xml:space="preserve">Mixed Performance </w:t>
      </w:r>
    </w:p>
    <w:p w14:paraId="5820EFDF" w14:textId="2D4CD301"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These countries </w:t>
      </w:r>
      <w:proofErr w:type="gramStart"/>
      <w:r w:rsidRPr="0088653A">
        <w:rPr>
          <w:rFonts w:ascii="Arial" w:eastAsia="Encode Sans" w:hAnsi="Arial" w:cs="Arial"/>
          <w:color w:val="333333"/>
        </w:rPr>
        <w:t>show</w:t>
      </w:r>
      <w:proofErr w:type="gramEnd"/>
      <w:r w:rsidRPr="0088653A">
        <w:rPr>
          <w:rFonts w:ascii="Arial" w:eastAsia="Encode Sans" w:hAnsi="Arial" w:cs="Arial"/>
          <w:color w:val="333333"/>
        </w:rPr>
        <w:t xml:space="preserve"> regional disparities or rely heavily on certain waste streams (like incineration or exports): </w:t>
      </w:r>
    </w:p>
    <w:p w14:paraId="5C0FBC3F" w14:textId="035B3337"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France</w:t>
      </w:r>
      <w:r w:rsidRPr="0088653A">
        <w:rPr>
          <w:rFonts w:ascii="Arial" w:eastAsia="Encode Sans" w:hAnsi="Arial" w:cs="Arial"/>
          <w:color w:val="333333"/>
        </w:rPr>
        <w:t xml:space="preserve">: Strong policy intent, including extended producer responsibility (EPR) and recent anti-waste laws banning plastic packaging for many fruits. However, recycling performance lags behind top-tier countries, and incineration remains common. </w:t>
      </w:r>
    </w:p>
    <w:p w14:paraId="7731A906" w14:textId="1FA2EE5A"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Spain</w:t>
      </w:r>
      <w:r w:rsidRPr="0088653A">
        <w:rPr>
          <w:rFonts w:ascii="Arial" w:eastAsia="Encode Sans" w:hAnsi="Arial" w:cs="Arial"/>
          <w:color w:val="333333"/>
        </w:rPr>
        <w:t xml:space="preserve">: Rapidly improving, especially in Catalonia and the Basque Country. National performance is uneven, and landfill use is still high. Recent law reforms aim to improve separate collection of organics and packaging. </w:t>
      </w:r>
    </w:p>
    <w:p w14:paraId="46744ADF" w14:textId="303D4E40"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Italy</w:t>
      </w:r>
      <w:r w:rsidRPr="0088653A">
        <w:rPr>
          <w:rFonts w:ascii="Arial" w:eastAsia="Encode Sans" w:hAnsi="Arial" w:cs="Arial"/>
          <w:color w:val="333333"/>
        </w:rPr>
        <w:t xml:space="preserve">: A tale of two countries—northern regions (e.g., Trentino, Emilia-Romagna) excel in waste separation and composting, while parts of the south struggle with illegal dumping and limited infrastructure. </w:t>
      </w:r>
    </w:p>
    <w:p w14:paraId="7A2E17AA" w14:textId="05FCB7A8"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Portugal</w:t>
      </w:r>
      <w:r w:rsidRPr="0088653A">
        <w:rPr>
          <w:rFonts w:ascii="Arial" w:eastAsia="Encode Sans" w:hAnsi="Arial" w:cs="Arial"/>
          <w:color w:val="333333"/>
        </w:rPr>
        <w:t xml:space="preserve">: Landfill use is declining, and recycling is growing thanks to EU-funded programs. However, rates remain below the EU average and awareness campaigns have had limited reach. </w:t>
      </w:r>
    </w:p>
    <w:p w14:paraId="52B5D59F" w14:textId="6A28C1A9" w:rsidR="00811550"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Czech Republic</w:t>
      </w:r>
      <w:r w:rsidRPr="0088653A">
        <w:rPr>
          <w:rFonts w:ascii="Arial" w:eastAsia="Encode Sans" w:hAnsi="Arial" w:cs="Arial"/>
          <w:color w:val="333333"/>
        </w:rPr>
        <w:t xml:space="preserve">: Strong uptake in separate collection, but recycling rates have plateaued. The country is introducing measures to reduce landfill and introduce EPR schemes. </w:t>
      </w:r>
    </w:p>
    <w:p w14:paraId="54207702" w14:textId="77777777" w:rsidR="0088653A" w:rsidRPr="0088653A" w:rsidRDefault="0088653A" w:rsidP="0088653A">
      <w:pPr>
        <w:pStyle w:val="Prrafodelista"/>
        <w:shd w:val="clear" w:color="auto" w:fill="FFFFFF" w:themeFill="background1"/>
        <w:spacing w:after="0" w:line="276" w:lineRule="auto"/>
        <w:ind w:left="300"/>
        <w:jc w:val="both"/>
        <w:rPr>
          <w:rFonts w:ascii="Arial" w:eastAsia="Encode Sans" w:hAnsi="Arial" w:cs="Arial"/>
          <w:color w:val="333333"/>
        </w:rPr>
      </w:pPr>
    </w:p>
    <w:p w14:paraId="241BB1D4" w14:textId="41CB60FD" w:rsidR="00811550" w:rsidRPr="0088653A" w:rsidRDefault="61D2D109" w:rsidP="450EA2CA">
      <w:pPr>
        <w:pStyle w:val="Ttulo4"/>
        <w:shd w:val="clear" w:color="auto" w:fill="FFFFFF" w:themeFill="background1"/>
        <w:spacing w:before="0" w:after="150" w:line="276" w:lineRule="auto"/>
        <w:jc w:val="both"/>
        <w:rPr>
          <w:rFonts w:ascii="Arial" w:hAnsi="Arial" w:cs="Arial"/>
          <w:sz w:val="28"/>
          <w:szCs w:val="28"/>
        </w:rPr>
      </w:pPr>
      <w:r w:rsidRPr="0088653A">
        <w:rPr>
          <w:rFonts w:ascii="Arial" w:eastAsia="Helvetica" w:hAnsi="Arial" w:cs="Arial"/>
          <w:b/>
          <w:bCs/>
          <w:i w:val="0"/>
          <w:iCs w:val="0"/>
          <w:caps/>
          <w:color w:val="0A4149"/>
          <w:sz w:val="28"/>
          <w:szCs w:val="28"/>
        </w:rPr>
        <w:t xml:space="preserve">Lagging Behind </w:t>
      </w:r>
    </w:p>
    <w:p w14:paraId="7E053E3F" w14:textId="5A40A2FA"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These countries are struggling to meet EU waste targets and face structural, economic, or enforcement challenges: </w:t>
      </w:r>
    </w:p>
    <w:p w14:paraId="78BEB173" w14:textId="1821B711"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Greece</w:t>
      </w:r>
      <w:r w:rsidRPr="0088653A">
        <w:rPr>
          <w:rFonts w:ascii="Arial" w:eastAsia="Encode Sans" w:hAnsi="Arial" w:cs="Arial"/>
          <w:color w:val="333333"/>
        </w:rPr>
        <w:t xml:space="preserve">: Still heavily reliant on landfill (over 70% of municipal waste), with limited access to recycling services outside urban centers. EU infringement procedures have pressured reforms, but progress is slow. </w:t>
      </w:r>
    </w:p>
    <w:p w14:paraId="75A504BC" w14:textId="35835391"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Romania</w:t>
      </w:r>
      <w:r w:rsidRPr="0088653A">
        <w:rPr>
          <w:rFonts w:ascii="Arial" w:eastAsia="Encode Sans" w:hAnsi="Arial" w:cs="Arial"/>
          <w:color w:val="333333"/>
        </w:rPr>
        <w:t xml:space="preserve">: One of the lowest performers in the EU. Despite EU funding, landfill is still the dominant method of disposal, and recycling infrastructure is underdeveloped. </w:t>
      </w:r>
    </w:p>
    <w:p w14:paraId="1F6BA420" w14:textId="38453C4D"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Bulgaria</w:t>
      </w:r>
      <w:r w:rsidRPr="0088653A">
        <w:rPr>
          <w:rFonts w:ascii="Arial" w:eastAsia="Encode Sans" w:hAnsi="Arial" w:cs="Arial"/>
          <w:color w:val="333333"/>
        </w:rPr>
        <w:t xml:space="preserve">: Similar to Romania—high landfill dependence, low recycling rates (around 30%), and limited public engagement. Regional development programs aim to build capacity. </w:t>
      </w:r>
    </w:p>
    <w:p w14:paraId="1305BDA7" w14:textId="63BE697A"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lastRenderedPageBreak/>
        <w:t>Croatia</w:t>
      </w:r>
      <w:r w:rsidRPr="0088653A">
        <w:rPr>
          <w:rFonts w:ascii="Arial" w:eastAsia="Encode Sans" w:hAnsi="Arial" w:cs="Arial"/>
          <w:color w:val="333333"/>
        </w:rPr>
        <w:t xml:space="preserve">: Landfill rates remain above 70%, and separate collection systems are unevenly implemented. EU funding has helped some cities improve, but rural areas lag behind. </w:t>
      </w:r>
    </w:p>
    <w:p w14:paraId="0CAD5D91" w14:textId="671CF23E" w:rsidR="00811550" w:rsidRPr="0088653A" w:rsidRDefault="61D2D109" w:rsidP="450EA2C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Malta</w:t>
      </w:r>
      <w:r w:rsidRPr="0088653A">
        <w:rPr>
          <w:rFonts w:ascii="Arial" w:eastAsia="Encode Sans" w:hAnsi="Arial" w:cs="Arial"/>
          <w:color w:val="333333"/>
        </w:rPr>
        <w:t xml:space="preserve">: As an island state, faces unique logistical challenges. While recent years have seen investment in new waste treatment facilities, waste generation per capita remains high and recycling low. </w:t>
      </w:r>
    </w:p>
    <w:p w14:paraId="4A0A2793" w14:textId="40203200"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The disparity is not only geographic—it’s systemic. Wealthier countries invest in education, modern facilities, and data transparency. Others rely on EU deadlines and external pressure to modernize. Consumers </w:t>
      </w:r>
      <w:proofErr w:type="gramStart"/>
      <w:r w:rsidRPr="0088653A">
        <w:rPr>
          <w:rFonts w:ascii="Arial" w:eastAsia="Encode Sans" w:hAnsi="Arial" w:cs="Arial"/>
          <w:color w:val="333333"/>
        </w:rPr>
        <w:t>living</w:t>
      </w:r>
      <w:proofErr w:type="gramEnd"/>
      <w:r w:rsidRPr="0088653A">
        <w:rPr>
          <w:rFonts w:ascii="Arial" w:eastAsia="Encode Sans" w:hAnsi="Arial" w:cs="Arial"/>
          <w:color w:val="333333"/>
        </w:rPr>
        <w:t xml:space="preserve"> in different corners of Europe are thus asked to play their part in systems that are not equally capable of delivering results. </w:t>
      </w:r>
    </w:p>
    <w:p w14:paraId="35FDC7FA" w14:textId="2633F13A"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 </w:t>
      </w:r>
    </w:p>
    <w:p w14:paraId="0AD1C163" w14:textId="79548BF1" w:rsidR="00811550" w:rsidRPr="0088653A" w:rsidRDefault="61D2D109" w:rsidP="450EA2CA">
      <w:pPr>
        <w:pStyle w:val="Ttulo3"/>
        <w:shd w:val="clear" w:color="auto" w:fill="FFFFFF" w:themeFill="background1"/>
        <w:spacing w:before="0" w:after="150" w:line="276" w:lineRule="auto"/>
        <w:jc w:val="both"/>
        <w:rPr>
          <w:rFonts w:ascii="Arial" w:hAnsi="Arial" w:cs="Arial"/>
        </w:rPr>
      </w:pPr>
      <w:r w:rsidRPr="0088653A">
        <w:rPr>
          <w:rFonts w:ascii="Arial" w:eastAsia="Helvetica" w:hAnsi="Arial" w:cs="Arial"/>
          <w:b/>
          <w:bCs/>
          <w:caps/>
          <w:color w:val="0A4149"/>
        </w:rPr>
        <w:t xml:space="preserve">Global Lessons: Models to Watch (and Avoid) </w:t>
      </w:r>
    </w:p>
    <w:p w14:paraId="4EA12D54" w14:textId="339360C8"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Europe doesn’t operate in a vacuum. Looking globally, we see two dominant models: </w:t>
      </w:r>
    </w:p>
    <w:p w14:paraId="4021AFEC" w14:textId="17B7C8CB" w:rsidR="00811550" w:rsidRPr="0088653A" w:rsidRDefault="61D2D109" w:rsidP="450EA2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The Scandinavian Approach</w:t>
      </w:r>
      <w:r w:rsidRPr="0088653A">
        <w:rPr>
          <w:rFonts w:ascii="Arial" w:eastAsia="Encode Sans" w:hAnsi="Arial" w:cs="Arial"/>
          <w:color w:val="333333"/>
        </w:rPr>
        <w:t xml:space="preserve">: Countries like Sweden and Denmark have nearly eliminated landfill use through high recycling, waste-to-energy incineration, and public buy-in. These models </w:t>
      </w:r>
      <w:proofErr w:type="gramStart"/>
      <w:r w:rsidRPr="0088653A">
        <w:rPr>
          <w:rFonts w:ascii="Arial" w:eastAsia="Encode Sans" w:hAnsi="Arial" w:cs="Arial"/>
          <w:color w:val="333333"/>
        </w:rPr>
        <w:t>show</w:t>
      </w:r>
      <w:proofErr w:type="gramEnd"/>
      <w:r w:rsidRPr="0088653A">
        <w:rPr>
          <w:rFonts w:ascii="Arial" w:eastAsia="Encode Sans" w:hAnsi="Arial" w:cs="Arial"/>
          <w:color w:val="333333"/>
        </w:rPr>
        <w:t xml:space="preserve"> what’s possible when policy, infrastructure, and civic trust align. </w:t>
      </w:r>
    </w:p>
    <w:p w14:paraId="5CAA95DA" w14:textId="0DF15F2D" w:rsidR="00811550" w:rsidRPr="0088653A" w:rsidRDefault="61D2D109" w:rsidP="450EA2C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The Export Model</w:t>
      </w:r>
      <w:r w:rsidRPr="0088653A">
        <w:rPr>
          <w:rFonts w:ascii="Arial" w:eastAsia="Encode Sans" w:hAnsi="Arial" w:cs="Arial"/>
          <w:color w:val="333333"/>
        </w:rPr>
        <w:t xml:space="preserve">: For years, much of Europe (and the U.S.) exported waste—particularly plastic—to countries like China, Malaysia, and Turkey. With China’s 2018 ban on foreign plastic waste, this model has collapsed, revealing the fragility of global recycling chains and the moral failure of outsourcing environmental harm. </w:t>
      </w:r>
    </w:p>
    <w:p w14:paraId="39846007" w14:textId="649EF27A"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In both contexts, one thing is clear: </w:t>
      </w:r>
      <w:r w:rsidRPr="0088653A">
        <w:rPr>
          <w:rFonts w:ascii="Arial" w:eastAsia="Encode Sans" w:hAnsi="Arial" w:cs="Arial"/>
          <w:i/>
          <w:iCs/>
          <w:color w:val="333333"/>
        </w:rPr>
        <w:t>citizens cannot carry the burden alone</w:t>
      </w:r>
      <w:r w:rsidRPr="0088653A">
        <w:rPr>
          <w:rFonts w:ascii="Arial" w:eastAsia="Encode Sans" w:hAnsi="Arial" w:cs="Arial"/>
          <w:color w:val="333333"/>
        </w:rPr>
        <w:t xml:space="preserve">. Even the most conscientious consumer cannot compensate for poor sorting infrastructure, unclear labeling, or lack of access to repair and reuse networks. </w:t>
      </w:r>
    </w:p>
    <w:p w14:paraId="28E2086A" w14:textId="368B74E0"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 </w:t>
      </w:r>
    </w:p>
    <w:p w14:paraId="1A75E204" w14:textId="1EAD866B" w:rsidR="00811550" w:rsidRPr="0088653A" w:rsidRDefault="61D2D109" w:rsidP="450EA2CA">
      <w:pPr>
        <w:pStyle w:val="Ttulo3"/>
        <w:shd w:val="clear" w:color="auto" w:fill="FFFFFF" w:themeFill="background1"/>
        <w:spacing w:before="0" w:after="150" w:line="276" w:lineRule="auto"/>
        <w:jc w:val="both"/>
        <w:rPr>
          <w:rFonts w:ascii="Arial" w:hAnsi="Arial" w:cs="Arial"/>
        </w:rPr>
      </w:pPr>
      <w:r w:rsidRPr="0088653A">
        <w:rPr>
          <w:rFonts w:ascii="Arial" w:eastAsia="Helvetica" w:hAnsi="Arial" w:cs="Arial"/>
          <w:b/>
          <w:bCs/>
          <w:caps/>
          <w:color w:val="0A4149"/>
        </w:rPr>
        <w:t xml:space="preserve">What This Means for You: The Empowered (and Frustrated) Consumer </w:t>
      </w:r>
    </w:p>
    <w:p w14:paraId="00CD865D" w14:textId="1B4C00DF"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Most EU residents have been told what goes in which bin. But few are told where it </w:t>
      </w:r>
      <w:r w:rsidRPr="0088653A">
        <w:rPr>
          <w:rFonts w:ascii="Arial" w:eastAsia="Encode Sans" w:hAnsi="Arial" w:cs="Arial"/>
          <w:i/>
          <w:iCs/>
          <w:color w:val="333333"/>
        </w:rPr>
        <w:t>really</w:t>
      </w:r>
      <w:r w:rsidRPr="0088653A">
        <w:rPr>
          <w:rFonts w:ascii="Arial" w:eastAsia="Encode Sans" w:hAnsi="Arial" w:cs="Arial"/>
          <w:color w:val="333333"/>
        </w:rPr>
        <w:t xml:space="preserve"> goes next—or whether it will ever be recycled at all. This opacity breeds both confusion and cynicism. </w:t>
      </w:r>
    </w:p>
    <w:p w14:paraId="1F0AFB39" w14:textId="31A20C4E" w:rsidR="00811550" w:rsidRPr="0088653A" w:rsidRDefault="61D2D109" w:rsidP="450EA2CA">
      <w:pPr>
        <w:shd w:val="clear" w:color="auto" w:fill="FFFFFF" w:themeFill="background1"/>
        <w:spacing w:after="150" w:line="276" w:lineRule="auto"/>
        <w:jc w:val="both"/>
        <w:rPr>
          <w:rFonts w:ascii="Arial" w:hAnsi="Arial" w:cs="Arial"/>
        </w:rPr>
      </w:pPr>
      <w:proofErr w:type="gramStart"/>
      <w:r w:rsidRPr="0088653A">
        <w:rPr>
          <w:rFonts w:ascii="Arial" w:eastAsia="Encode Sans" w:hAnsi="Arial" w:cs="Arial"/>
          <w:color w:val="333333"/>
        </w:rPr>
        <w:t>So what can consumers do beyond obedient sorting?</w:t>
      </w:r>
      <w:proofErr w:type="gramEnd"/>
      <w:r w:rsidRPr="0088653A">
        <w:rPr>
          <w:rFonts w:ascii="Arial" w:eastAsia="Encode Sans" w:hAnsi="Arial" w:cs="Arial"/>
          <w:color w:val="333333"/>
        </w:rPr>
        <w:t xml:space="preserve"> </w:t>
      </w:r>
    </w:p>
    <w:p w14:paraId="6E48FFA4" w14:textId="4BA8CCC9" w:rsidR="00811550" w:rsidRPr="0088653A" w:rsidRDefault="61D2D109" w:rsidP="450EA2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Demand transparency</w:t>
      </w:r>
      <w:r w:rsidRPr="0088653A">
        <w:rPr>
          <w:rFonts w:ascii="Arial" w:eastAsia="Encode Sans" w:hAnsi="Arial" w:cs="Arial"/>
          <w:color w:val="333333"/>
        </w:rPr>
        <w:t xml:space="preserve">. Ask your municipality or waste collector: </w:t>
      </w:r>
      <w:proofErr w:type="gramStart"/>
      <w:r w:rsidRPr="0088653A">
        <w:rPr>
          <w:rFonts w:ascii="Arial" w:eastAsia="Encode Sans" w:hAnsi="Arial" w:cs="Arial"/>
          <w:color w:val="333333"/>
        </w:rPr>
        <w:t>what actually gets recycled?</w:t>
      </w:r>
      <w:proofErr w:type="gramEnd"/>
      <w:r w:rsidRPr="0088653A">
        <w:rPr>
          <w:rFonts w:ascii="Arial" w:eastAsia="Encode Sans" w:hAnsi="Arial" w:cs="Arial"/>
          <w:color w:val="333333"/>
        </w:rPr>
        <w:t xml:space="preserve"> What percentage goes to landfill or incineration? </w:t>
      </w:r>
    </w:p>
    <w:p w14:paraId="3E9E49D8" w14:textId="076941F8" w:rsidR="00811550" w:rsidRPr="0088653A" w:rsidRDefault="61D2D109" w:rsidP="450EA2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Support waste reduction policies</w:t>
      </w:r>
      <w:r w:rsidRPr="0088653A">
        <w:rPr>
          <w:rFonts w:ascii="Arial" w:eastAsia="Encode Sans" w:hAnsi="Arial" w:cs="Arial"/>
          <w:color w:val="333333"/>
        </w:rPr>
        <w:t xml:space="preserve">—from banning unnecessary packaging to creating local repair and reuse centers. </w:t>
      </w:r>
    </w:p>
    <w:p w14:paraId="7AA4F406" w14:textId="66CD688A" w:rsidR="00811550" w:rsidRPr="0088653A" w:rsidRDefault="61D2D109" w:rsidP="450EA2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t>Push for standardization</w:t>
      </w:r>
      <w:r w:rsidRPr="0088653A">
        <w:rPr>
          <w:rFonts w:ascii="Arial" w:eastAsia="Encode Sans" w:hAnsi="Arial" w:cs="Arial"/>
          <w:color w:val="333333"/>
        </w:rPr>
        <w:t xml:space="preserve">. Why should bin colors, labels, and sorting rules differ so drastically across borders—or even neighboring cities? A harmonized EU labeling system is long overdue. </w:t>
      </w:r>
    </w:p>
    <w:p w14:paraId="19A3F21C" w14:textId="19E5BD81" w:rsidR="00811550" w:rsidRPr="0088653A" w:rsidRDefault="61D2D109" w:rsidP="450EA2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8653A">
        <w:rPr>
          <w:rFonts w:ascii="Arial" w:eastAsia="Encode Sans" w:hAnsi="Arial" w:cs="Arial"/>
          <w:b/>
          <w:bCs/>
          <w:color w:val="333333"/>
        </w:rPr>
        <w:lastRenderedPageBreak/>
        <w:t>Make noise about the data gap</w:t>
      </w:r>
      <w:r w:rsidRPr="0088653A">
        <w:rPr>
          <w:rFonts w:ascii="Arial" w:eastAsia="Encode Sans" w:hAnsi="Arial" w:cs="Arial"/>
          <w:color w:val="333333"/>
        </w:rPr>
        <w:t xml:space="preserve">. Much of the EU’s waste data is based on estimates or self-reported figures. Push for real tracking—from your bin to its final destination. </w:t>
      </w:r>
    </w:p>
    <w:p w14:paraId="47CD8ADE" w14:textId="64DD9E61" w:rsidR="00811550" w:rsidRPr="0088653A" w:rsidRDefault="61D2D109" w:rsidP="450EA2C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proofErr w:type="gramStart"/>
      <w:r w:rsidRPr="0088653A">
        <w:rPr>
          <w:rFonts w:ascii="Arial" w:eastAsia="Encode Sans" w:hAnsi="Arial" w:cs="Arial"/>
          <w:b/>
          <w:bCs/>
          <w:color w:val="333333"/>
        </w:rPr>
        <w:t>Look</w:t>
      </w:r>
      <w:proofErr w:type="gramEnd"/>
      <w:r w:rsidRPr="0088653A">
        <w:rPr>
          <w:rFonts w:ascii="Arial" w:eastAsia="Encode Sans" w:hAnsi="Arial" w:cs="Arial"/>
          <w:b/>
          <w:bCs/>
          <w:color w:val="333333"/>
        </w:rPr>
        <w:t xml:space="preserve"> upstream.</w:t>
      </w:r>
      <w:r w:rsidRPr="0088653A">
        <w:rPr>
          <w:rFonts w:ascii="Arial" w:eastAsia="Encode Sans" w:hAnsi="Arial" w:cs="Arial"/>
          <w:color w:val="333333"/>
        </w:rPr>
        <w:t xml:space="preserve"> Advocate for policies that reduce waste before it’s even created. The best waste is the one that never exists. </w:t>
      </w:r>
    </w:p>
    <w:p w14:paraId="362AF62F" w14:textId="731887A0"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 </w:t>
      </w:r>
    </w:p>
    <w:p w14:paraId="6956C7E6" w14:textId="49BD2CE3"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hAnsi="Arial" w:cs="Arial"/>
          <w:noProof/>
        </w:rPr>
        <w:drawing>
          <wp:inline distT="0" distB="0" distL="0" distR="0" wp14:anchorId="6F0BD5C3" wp14:editId="42304E6A">
            <wp:extent cx="4724400" cy="3152775"/>
            <wp:effectExtent l="0" t="0" r="0" b="0"/>
            <wp:docPr id="2028004806" name="drawing" title="Assorted Color Plastic Trash Bins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04806" name="Picture 2028004806"/>
                    <pic:cNvPicPr/>
                  </pic:nvPicPr>
                  <pic:blipFill>
                    <a:blip r:embed="rId8">
                      <a:extLst>
                        <a:ext uri="{28A0092B-C50C-407E-A947-70E740481C1C}">
                          <a14:useLocalDpi xmlns:a14="http://schemas.microsoft.com/office/drawing/2010/main"/>
                        </a:ext>
                      </a:extLst>
                    </a:blip>
                    <a:stretch>
                      <a:fillRect/>
                    </a:stretch>
                  </pic:blipFill>
                  <pic:spPr>
                    <a:xfrm>
                      <a:off x="0" y="0"/>
                      <a:ext cx="4724400" cy="3152775"/>
                    </a:xfrm>
                    <a:prstGeom prst="rect">
                      <a:avLst/>
                    </a:prstGeom>
                  </pic:spPr>
                </pic:pic>
              </a:graphicData>
            </a:graphic>
          </wp:inline>
        </w:drawing>
      </w:r>
    </w:p>
    <w:p w14:paraId="38644F62" w14:textId="71823449" w:rsidR="00811550" w:rsidRPr="0088653A" w:rsidRDefault="61D2D109" w:rsidP="450EA2CA">
      <w:pPr>
        <w:shd w:val="clear" w:color="auto" w:fill="FFFFFF" w:themeFill="background1"/>
        <w:spacing w:after="150" w:line="276" w:lineRule="auto"/>
        <w:jc w:val="both"/>
        <w:rPr>
          <w:rFonts w:ascii="Arial" w:hAnsi="Arial" w:cs="Arial"/>
          <w:sz w:val="20"/>
          <w:szCs w:val="20"/>
        </w:rPr>
      </w:pPr>
      <w:r w:rsidRPr="0088653A">
        <w:rPr>
          <w:rFonts w:ascii="Arial" w:eastAsia="Encode Sans" w:hAnsi="Arial" w:cs="Arial"/>
          <w:i/>
          <w:iCs/>
          <w:color w:val="333333"/>
          <w:sz w:val="20"/>
          <w:szCs w:val="20"/>
        </w:rPr>
        <w:t>Photo by Vlad Vasnetsov (Pexels), licensed under CC0</w:t>
      </w:r>
    </w:p>
    <w:p w14:paraId="584CD794" w14:textId="6F26CC89"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 </w:t>
      </w:r>
    </w:p>
    <w:p w14:paraId="1D57EBCB" w14:textId="4CBDC277" w:rsidR="00811550" w:rsidRPr="0088653A" w:rsidRDefault="61D2D109" w:rsidP="450EA2CA">
      <w:pPr>
        <w:pStyle w:val="Ttulo3"/>
        <w:shd w:val="clear" w:color="auto" w:fill="FFFFFF" w:themeFill="background1"/>
        <w:spacing w:before="0" w:after="150" w:line="276" w:lineRule="auto"/>
        <w:jc w:val="both"/>
        <w:rPr>
          <w:rFonts w:ascii="Arial" w:hAnsi="Arial" w:cs="Arial"/>
        </w:rPr>
      </w:pPr>
      <w:r w:rsidRPr="0088653A">
        <w:rPr>
          <w:rFonts w:ascii="Arial" w:eastAsia="Helvetica" w:hAnsi="Arial" w:cs="Arial"/>
          <w:b/>
          <w:bCs/>
          <w:caps/>
          <w:color w:val="0A4149"/>
        </w:rPr>
        <w:t xml:space="preserve">It’s Not Just About Sorting—It’s About Systems </w:t>
      </w:r>
    </w:p>
    <w:p w14:paraId="5F400941" w14:textId="43F77A85"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Mapping waste management in the EU reveals more than a list of policies; it </w:t>
      </w:r>
      <w:proofErr w:type="gramStart"/>
      <w:r w:rsidRPr="0088653A">
        <w:rPr>
          <w:rFonts w:ascii="Arial" w:eastAsia="Encode Sans" w:hAnsi="Arial" w:cs="Arial"/>
          <w:color w:val="333333"/>
        </w:rPr>
        <w:t>shows</w:t>
      </w:r>
      <w:proofErr w:type="gramEnd"/>
      <w:r w:rsidRPr="0088653A">
        <w:rPr>
          <w:rFonts w:ascii="Arial" w:eastAsia="Encode Sans" w:hAnsi="Arial" w:cs="Arial"/>
          <w:color w:val="333333"/>
        </w:rPr>
        <w:t xml:space="preserve"> a fragmented landscape where consumer responsibility is emphasized, but systemic accountability often lags behind leaving unresponsible companies still being unresposible. Yes, recycling matters. Yes, your choices make a difference. But they are only as effective as the system that receives them. </w:t>
      </w:r>
    </w:p>
    <w:p w14:paraId="76AC1A6F" w14:textId="4B39B80D" w:rsidR="00811550" w:rsidRPr="0088653A" w:rsidRDefault="61D2D109" w:rsidP="450EA2CA">
      <w:pPr>
        <w:shd w:val="clear" w:color="auto" w:fill="FFFFFF" w:themeFill="background1"/>
        <w:spacing w:after="150" w:line="276" w:lineRule="auto"/>
        <w:jc w:val="both"/>
        <w:rPr>
          <w:rFonts w:ascii="Arial" w:hAnsi="Arial" w:cs="Arial"/>
        </w:rPr>
      </w:pPr>
      <w:r w:rsidRPr="0088653A">
        <w:rPr>
          <w:rFonts w:ascii="Arial" w:eastAsia="Encode Sans" w:hAnsi="Arial" w:cs="Arial"/>
          <w:color w:val="333333"/>
        </w:rPr>
        <w:t xml:space="preserve">A Europe that truly respects its waste—and its citizens—needs to invest not just in better facilities, but in clearer communication, fairer frameworks, and policy consistency. Because until then, too much of what we “recycle” remains a well-meaning illusion. </w:t>
      </w:r>
    </w:p>
    <w:p w14:paraId="5C1A07E2" w14:textId="1D41E68B" w:rsidR="00811550" w:rsidRPr="0088653A" w:rsidRDefault="61D2D109" w:rsidP="450EA2CA">
      <w:pPr>
        <w:spacing w:line="276" w:lineRule="auto"/>
        <w:jc w:val="both"/>
        <w:rPr>
          <w:rFonts w:ascii="Arial" w:hAnsi="Arial" w:cs="Arial"/>
        </w:rPr>
      </w:pPr>
      <w:r w:rsidRPr="0088653A">
        <w:rPr>
          <w:rFonts w:ascii="Arial" w:eastAsia="Encode Sans" w:hAnsi="Arial" w:cs="Arial"/>
          <w:b/>
          <w:bCs/>
          <w:color w:val="333333"/>
        </w:rPr>
        <w:t>Let’s stop just sorting—and start demanding a system that does more than shuffle the problem around.</w:t>
      </w:r>
    </w:p>
    <w:sectPr w:rsidR="00811550" w:rsidRPr="0088653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A39CA"/>
    <w:multiLevelType w:val="hybridMultilevel"/>
    <w:tmpl w:val="5CBAA07A"/>
    <w:lvl w:ilvl="0" w:tplc="07D8340A">
      <w:start w:val="1"/>
      <w:numFmt w:val="bullet"/>
      <w:lvlText w:val=""/>
      <w:lvlJc w:val="left"/>
      <w:pPr>
        <w:ind w:left="720" w:hanging="360"/>
      </w:pPr>
      <w:rPr>
        <w:rFonts w:ascii="Symbol" w:hAnsi="Symbol" w:hint="default"/>
      </w:rPr>
    </w:lvl>
    <w:lvl w:ilvl="1" w:tplc="B2668ED2">
      <w:start w:val="1"/>
      <w:numFmt w:val="bullet"/>
      <w:lvlText w:val="o"/>
      <w:lvlJc w:val="left"/>
      <w:pPr>
        <w:ind w:left="1440" w:hanging="360"/>
      </w:pPr>
      <w:rPr>
        <w:rFonts w:ascii="Courier New" w:hAnsi="Courier New" w:hint="default"/>
      </w:rPr>
    </w:lvl>
    <w:lvl w:ilvl="2" w:tplc="86420B84">
      <w:start w:val="1"/>
      <w:numFmt w:val="bullet"/>
      <w:lvlText w:val=""/>
      <w:lvlJc w:val="left"/>
      <w:pPr>
        <w:ind w:left="2160" w:hanging="360"/>
      </w:pPr>
      <w:rPr>
        <w:rFonts w:ascii="Wingdings" w:hAnsi="Wingdings" w:hint="default"/>
      </w:rPr>
    </w:lvl>
    <w:lvl w:ilvl="3" w:tplc="21D2EE10">
      <w:start w:val="1"/>
      <w:numFmt w:val="bullet"/>
      <w:lvlText w:val=""/>
      <w:lvlJc w:val="left"/>
      <w:pPr>
        <w:ind w:left="2880" w:hanging="360"/>
      </w:pPr>
      <w:rPr>
        <w:rFonts w:ascii="Symbol" w:hAnsi="Symbol" w:hint="default"/>
      </w:rPr>
    </w:lvl>
    <w:lvl w:ilvl="4" w:tplc="8B0CC41C">
      <w:start w:val="1"/>
      <w:numFmt w:val="bullet"/>
      <w:lvlText w:val="o"/>
      <w:lvlJc w:val="left"/>
      <w:pPr>
        <w:ind w:left="3600" w:hanging="360"/>
      </w:pPr>
      <w:rPr>
        <w:rFonts w:ascii="Courier New" w:hAnsi="Courier New" w:hint="default"/>
      </w:rPr>
    </w:lvl>
    <w:lvl w:ilvl="5" w:tplc="00806F82">
      <w:start w:val="1"/>
      <w:numFmt w:val="bullet"/>
      <w:lvlText w:val=""/>
      <w:lvlJc w:val="left"/>
      <w:pPr>
        <w:ind w:left="4320" w:hanging="360"/>
      </w:pPr>
      <w:rPr>
        <w:rFonts w:ascii="Wingdings" w:hAnsi="Wingdings" w:hint="default"/>
      </w:rPr>
    </w:lvl>
    <w:lvl w:ilvl="6" w:tplc="26BE97EA">
      <w:start w:val="1"/>
      <w:numFmt w:val="bullet"/>
      <w:lvlText w:val=""/>
      <w:lvlJc w:val="left"/>
      <w:pPr>
        <w:ind w:left="5040" w:hanging="360"/>
      </w:pPr>
      <w:rPr>
        <w:rFonts w:ascii="Symbol" w:hAnsi="Symbol" w:hint="default"/>
      </w:rPr>
    </w:lvl>
    <w:lvl w:ilvl="7" w:tplc="566E2970">
      <w:start w:val="1"/>
      <w:numFmt w:val="bullet"/>
      <w:lvlText w:val="o"/>
      <w:lvlJc w:val="left"/>
      <w:pPr>
        <w:ind w:left="5760" w:hanging="360"/>
      </w:pPr>
      <w:rPr>
        <w:rFonts w:ascii="Courier New" w:hAnsi="Courier New" w:hint="default"/>
      </w:rPr>
    </w:lvl>
    <w:lvl w:ilvl="8" w:tplc="19FE697C">
      <w:start w:val="1"/>
      <w:numFmt w:val="bullet"/>
      <w:lvlText w:val=""/>
      <w:lvlJc w:val="left"/>
      <w:pPr>
        <w:ind w:left="6480" w:hanging="360"/>
      </w:pPr>
      <w:rPr>
        <w:rFonts w:ascii="Wingdings" w:hAnsi="Wingdings" w:hint="default"/>
      </w:rPr>
    </w:lvl>
  </w:abstractNum>
  <w:abstractNum w:abstractNumId="1" w15:restartNumberingAfterBreak="0">
    <w:nsid w:val="3A9626FA"/>
    <w:multiLevelType w:val="hybridMultilevel"/>
    <w:tmpl w:val="0C44E5C4"/>
    <w:lvl w:ilvl="0" w:tplc="20BC4C60">
      <w:start w:val="1"/>
      <w:numFmt w:val="decimal"/>
      <w:lvlText w:val="%1."/>
      <w:lvlJc w:val="left"/>
      <w:pPr>
        <w:ind w:left="720" w:hanging="360"/>
      </w:pPr>
    </w:lvl>
    <w:lvl w:ilvl="1" w:tplc="86FCD33E">
      <w:start w:val="1"/>
      <w:numFmt w:val="lowerLetter"/>
      <w:lvlText w:val="%2."/>
      <w:lvlJc w:val="left"/>
      <w:pPr>
        <w:ind w:left="1440" w:hanging="360"/>
      </w:pPr>
    </w:lvl>
    <w:lvl w:ilvl="2" w:tplc="ACAAA400">
      <w:start w:val="1"/>
      <w:numFmt w:val="lowerRoman"/>
      <w:lvlText w:val="%3."/>
      <w:lvlJc w:val="right"/>
      <w:pPr>
        <w:ind w:left="2160" w:hanging="180"/>
      </w:pPr>
    </w:lvl>
    <w:lvl w:ilvl="3" w:tplc="41DA964E">
      <w:start w:val="1"/>
      <w:numFmt w:val="decimal"/>
      <w:lvlText w:val="%4."/>
      <w:lvlJc w:val="left"/>
      <w:pPr>
        <w:ind w:left="2880" w:hanging="360"/>
      </w:pPr>
    </w:lvl>
    <w:lvl w:ilvl="4" w:tplc="CF2ED25E">
      <w:start w:val="1"/>
      <w:numFmt w:val="lowerLetter"/>
      <w:lvlText w:val="%5."/>
      <w:lvlJc w:val="left"/>
      <w:pPr>
        <w:ind w:left="3600" w:hanging="360"/>
      </w:pPr>
    </w:lvl>
    <w:lvl w:ilvl="5" w:tplc="07F0D296">
      <w:start w:val="1"/>
      <w:numFmt w:val="lowerRoman"/>
      <w:lvlText w:val="%6."/>
      <w:lvlJc w:val="right"/>
      <w:pPr>
        <w:ind w:left="4320" w:hanging="180"/>
      </w:pPr>
    </w:lvl>
    <w:lvl w:ilvl="6" w:tplc="579A23FA">
      <w:start w:val="1"/>
      <w:numFmt w:val="decimal"/>
      <w:lvlText w:val="%7."/>
      <w:lvlJc w:val="left"/>
      <w:pPr>
        <w:ind w:left="5040" w:hanging="360"/>
      </w:pPr>
    </w:lvl>
    <w:lvl w:ilvl="7" w:tplc="A4F84178">
      <w:start w:val="1"/>
      <w:numFmt w:val="lowerLetter"/>
      <w:lvlText w:val="%8."/>
      <w:lvlJc w:val="left"/>
      <w:pPr>
        <w:ind w:left="5760" w:hanging="360"/>
      </w:pPr>
    </w:lvl>
    <w:lvl w:ilvl="8" w:tplc="FDAE9124">
      <w:start w:val="1"/>
      <w:numFmt w:val="lowerRoman"/>
      <w:lvlText w:val="%9."/>
      <w:lvlJc w:val="right"/>
      <w:pPr>
        <w:ind w:left="6480" w:hanging="180"/>
      </w:pPr>
    </w:lvl>
  </w:abstractNum>
  <w:abstractNum w:abstractNumId="2" w15:restartNumberingAfterBreak="0">
    <w:nsid w:val="411D53D3"/>
    <w:multiLevelType w:val="hybridMultilevel"/>
    <w:tmpl w:val="36721AFC"/>
    <w:lvl w:ilvl="0" w:tplc="A8D8D4DC">
      <w:start w:val="1"/>
      <w:numFmt w:val="bullet"/>
      <w:lvlText w:val=""/>
      <w:lvlJc w:val="left"/>
      <w:pPr>
        <w:ind w:left="720" w:hanging="360"/>
      </w:pPr>
      <w:rPr>
        <w:rFonts w:ascii="Symbol" w:hAnsi="Symbol" w:hint="default"/>
      </w:rPr>
    </w:lvl>
    <w:lvl w:ilvl="1" w:tplc="B84A753E">
      <w:start w:val="1"/>
      <w:numFmt w:val="bullet"/>
      <w:lvlText w:val="o"/>
      <w:lvlJc w:val="left"/>
      <w:pPr>
        <w:ind w:left="1440" w:hanging="360"/>
      </w:pPr>
      <w:rPr>
        <w:rFonts w:ascii="Courier New" w:hAnsi="Courier New" w:hint="default"/>
      </w:rPr>
    </w:lvl>
    <w:lvl w:ilvl="2" w:tplc="3962F76A">
      <w:start w:val="1"/>
      <w:numFmt w:val="bullet"/>
      <w:lvlText w:val=""/>
      <w:lvlJc w:val="left"/>
      <w:pPr>
        <w:ind w:left="2160" w:hanging="360"/>
      </w:pPr>
      <w:rPr>
        <w:rFonts w:ascii="Wingdings" w:hAnsi="Wingdings" w:hint="default"/>
      </w:rPr>
    </w:lvl>
    <w:lvl w:ilvl="3" w:tplc="57D62FB4">
      <w:start w:val="1"/>
      <w:numFmt w:val="bullet"/>
      <w:lvlText w:val=""/>
      <w:lvlJc w:val="left"/>
      <w:pPr>
        <w:ind w:left="2880" w:hanging="360"/>
      </w:pPr>
      <w:rPr>
        <w:rFonts w:ascii="Symbol" w:hAnsi="Symbol" w:hint="default"/>
      </w:rPr>
    </w:lvl>
    <w:lvl w:ilvl="4" w:tplc="7EF2AC40">
      <w:start w:val="1"/>
      <w:numFmt w:val="bullet"/>
      <w:lvlText w:val="o"/>
      <w:lvlJc w:val="left"/>
      <w:pPr>
        <w:ind w:left="3600" w:hanging="360"/>
      </w:pPr>
      <w:rPr>
        <w:rFonts w:ascii="Courier New" w:hAnsi="Courier New" w:hint="default"/>
      </w:rPr>
    </w:lvl>
    <w:lvl w:ilvl="5" w:tplc="C05AD270">
      <w:start w:val="1"/>
      <w:numFmt w:val="bullet"/>
      <w:lvlText w:val=""/>
      <w:lvlJc w:val="left"/>
      <w:pPr>
        <w:ind w:left="4320" w:hanging="360"/>
      </w:pPr>
      <w:rPr>
        <w:rFonts w:ascii="Wingdings" w:hAnsi="Wingdings" w:hint="default"/>
      </w:rPr>
    </w:lvl>
    <w:lvl w:ilvl="6" w:tplc="93A24742">
      <w:start w:val="1"/>
      <w:numFmt w:val="bullet"/>
      <w:lvlText w:val=""/>
      <w:lvlJc w:val="left"/>
      <w:pPr>
        <w:ind w:left="5040" w:hanging="360"/>
      </w:pPr>
      <w:rPr>
        <w:rFonts w:ascii="Symbol" w:hAnsi="Symbol" w:hint="default"/>
      </w:rPr>
    </w:lvl>
    <w:lvl w:ilvl="7" w:tplc="2F66BD74">
      <w:start w:val="1"/>
      <w:numFmt w:val="bullet"/>
      <w:lvlText w:val="o"/>
      <w:lvlJc w:val="left"/>
      <w:pPr>
        <w:ind w:left="5760" w:hanging="360"/>
      </w:pPr>
      <w:rPr>
        <w:rFonts w:ascii="Courier New" w:hAnsi="Courier New" w:hint="default"/>
      </w:rPr>
    </w:lvl>
    <w:lvl w:ilvl="8" w:tplc="BD8C1B34">
      <w:start w:val="1"/>
      <w:numFmt w:val="bullet"/>
      <w:lvlText w:val=""/>
      <w:lvlJc w:val="left"/>
      <w:pPr>
        <w:ind w:left="6480" w:hanging="360"/>
      </w:pPr>
      <w:rPr>
        <w:rFonts w:ascii="Wingdings" w:hAnsi="Wingdings" w:hint="default"/>
      </w:rPr>
    </w:lvl>
  </w:abstractNum>
  <w:abstractNum w:abstractNumId="3" w15:restartNumberingAfterBreak="0">
    <w:nsid w:val="485E92D2"/>
    <w:multiLevelType w:val="hybridMultilevel"/>
    <w:tmpl w:val="AAB2FDCE"/>
    <w:lvl w:ilvl="0" w:tplc="6BCE1834">
      <w:start w:val="1"/>
      <w:numFmt w:val="decimal"/>
      <w:lvlText w:val="%1."/>
      <w:lvlJc w:val="left"/>
      <w:pPr>
        <w:ind w:left="720" w:hanging="360"/>
      </w:pPr>
      <w:rPr>
        <w:rFonts w:ascii="Aptos" w:hAnsi="Aptos" w:hint="default"/>
      </w:rPr>
    </w:lvl>
    <w:lvl w:ilvl="1" w:tplc="CC34722C">
      <w:start w:val="1"/>
      <w:numFmt w:val="lowerLetter"/>
      <w:lvlText w:val="%2."/>
      <w:lvlJc w:val="left"/>
      <w:pPr>
        <w:ind w:left="1440" w:hanging="360"/>
      </w:pPr>
    </w:lvl>
    <w:lvl w:ilvl="2" w:tplc="8C68EFEA">
      <w:start w:val="1"/>
      <w:numFmt w:val="lowerRoman"/>
      <w:lvlText w:val="%3."/>
      <w:lvlJc w:val="right"/>
      <w:pPr>
        <w:ind w:left="2160" w:hanging="180"/>
      </w:pPr>
    </w:lvl>
    <w:lvl w:ilvl="3" w:tplc="9C841D50">
      <w:start w:val="1"/>
      <w:numFmt w:val="decimal"/>
      <w:lvlText w:val="%4."/>
      <w:lvlJc w:val="left"/>
      <w:pPr>
        <w:ind w:left="2880" w:hanging="360"/>
      </w:pPr>
    </w:lvl>
    <w:lvl w:ilvl="4" w:tplc="FBF80788">
      <w:start w:val="1"/>
      <w:numFmt w:val="lowerLetter"/>
      <w:lvlText w:val="%5."/>
      <w:lvlJc w:val="left"/>
      <w:pPr>
        <w:ind w:left="3600" w:hanging="360"/>
      </w:pPr>
    </w:lvl>
    <w:lvl w:ilvl="5" w:tplc="3B9ACF80">
      <w:start w:val="1"/>
      <w:numFmt w:val="lowerRoman"/>
      <w:lvlText w:val="%6."/>
      <w:lvlJc w:val="right"/>
      <w:pPr>
        <w:ind w:left="4320" w:hanging="180"/>
      </w:pPr>
    </w:lvl>
    <w:lvl w:ilvl="6" w:tplc="07AA5DDE">
      <w:start w:val="1"/>
      <w:numFmt w:val="decimal"/>
      <w:lvlText w:val="%7."/>
      <w:lvlJc w:val="left"/>
      <w:pPr>
        <w:ind w:left="5040" w:hanging="360"/>
      </w:pPr>
    </w:lvl>
    <w:lvl w:ilvl="7" w:tplc="9BDA8272">
      <w:start w:val="1"/>
      <w:numFmt w:val="lowerLetter"/>
      <w:lvlText w:val="%8."/>
      <w:lvlJc w:val="left"/>
      <w:pPr>
        <w:ind w:left="5760" w:hanging="360"/>
      </w:pPr>
    </w:lvl>
    <w:lvl w:ilvl="8" w:tplc="F5F2F720">
      <w:start w:val="1"/>
      <w:numFmt w:val="lowerRoman"/>
      <w:lvlText w:val="%9."/>
      <w:lvlJc w:val="right"/>
      <w:pPr>
        <w:ind w:left="6480" w:hanging="180"/>
      </w:pPr>
    </w:lvl>
  </w:abstractNum>
  <w:abstractNum w:abstractNumId="4" w15:restartNumberingAfterBreak="0">
    <w:nsid w:val="66ECEE4D"/>
    <w:multiLevelType w:val="hybridMultilevel"/>
    <w:tmpl w:val="3E989A92"/>
    <w:lvl w:ilvl="0" w:tplc="4F3E9180">
      <w:start w:val="1"/>
      <w:numFmt w:val="bullet"/>
      <w:lvlText w:val=""/>
      <w:lvlJc w:val="left"/>
      <w:pPr>
        <w:ind w:left="720" w:hanging="360"/>
      </w:pPr>
      <w:rPr>
        <w:rFonts w:ascii="Symbol" w:hAnsi="Symbol" w:hint="default"/>
      </w:rPr>
    </w:lvl>
    <w:lvl w:ilvl="1" w:tplc="8636430E">
      <w:start w:val="1"/>
      <w:numFmt w:val="bullet"/>
      <w:lvlText w:val="o"/>
      <w:lvlJc w:val="left"/>
      <w:pPr>
        <w:ind w:left="1440" w:hanging="360"/>
      </w:pPr>
      <w:rPr>
        <w:rFonts w:ascii="Courier New" w:hAnsi="Courier New" w:hint="default"/>
      </w:rPr>
    </w:lvl>
    <w:lvl w:ilvl="2" w:tplc="ED4C0EC4">
      <w:start w:val="1"/>
      <w:numFmt w:val="bullet"/>
      <w:lvlText w:val=""/>
      <w:lvlJc w:val="left"/>
      <w:pPr>
        <w:ind w:left="2160" w:hanging="360"/>
      </w:pPr>
      <w:rPr>
        <w:rFonts w:ascii="Wingdings" w:hAnsi="Wingdings" w:hint="default"/>
      </w:rPr>
    </w:lvl>
    <w:lvl w:ilvl="3" w:tplc="CA92ECBE">
      <w:start w:val="1"/>
      <w:numFmt w:val="bullet"/>
      <w:lvlText w:val=""/>
      <w:lvlJc w:val="left"/>
      <w:pPr>
        <w:ind w:left="2880" w:hanging="360"/>
      </w:pPr>
      <w:rPr>
        <w:rFonts w:ascii="Symbol" w:hAnsi="Symbol" w:hint="default"/>
      </w:rPr>
    </w:lvl>
    <w:lvl w:ilvl="4" w:tplc="BDE6BC26">
      <w:start w:val="1"/>
      <w:numFmt w:val="bullet"/>
      <w:lvlText w:val="o"/>
      <w:lvlJc w:val="left"/>
      <w:pPr>
        <w:ind w:left="3600" w:hanging="360"/>
      </w:pPr>
      <w:rPr>
        <w:rFonts w:ascii="Courier New" w:hAnsi="Courier New" w:hint="default"/>
      </w:rPr>
    </w:lvl>
    <w:lvl w:ilvl="5" w:tplc="B338F558">
      <w:start w:val="1"/>
      <w:numFmt w:val="bullet"/>
      <w:lvlText w:val=""/>
      <w:lvlJc w:val="left"/>
      <w:pPr>
        <w:ind w:left="4320" w:hanging="360"/>
      </w:pPr>
      <w:rPr>
        <w:rFonts w:ascii="Wingdings" w:hAnsi="Wingdings" w:hint="default"/>
      </w:rPr>
    </w:lvl>
    <w:lvl w:ilvl="6" w:tplc="C952F346">
      <w:start w:val="1"/>
      <w:numFmt w:val="bullet"/>
      <w:lvlText w:val=""/>
      <w:lvlJc w:val="left"/>
      <w:pPr>
        <w:ind w:left="5040" w:hanging="360"/>
      </w:pPr>
      <w:rPr>
        <w:rFonts w:ascii="Symbol" w:hAnsi="Symbol" w:hint="default"/>
      </w:rPr>
    </w:lvl>
    <w:lvl w:ilvl="7" w:tplc="51D852F4">
      <w:start w:val="1"/>
      <w:numFmt w:val="bullet"/>
      <w:lvlText w:val="o"/>
      <w:lvlJc w:val="left"/>
      <w:pPr>
        <w:ind w:left="5760" w:hanging="360"/>
      </w:pPr>
      <w:rPr>
        <w:rFonts w:ascii="Courier New" w:hAnsi="Courier New" w:hint="default"/>
      </w:rPr>
    </w:lvl>
    <w:lvl w:ilvl="8" w:tplc="C5363DCA">
      <w:start w:val="1"/>
      <w:numFmt w:val="bullet"/>
      <w:lvlText w:val=""/>
      <w:lvlJc w:val="left"/>
      <w:pPr>
        <w:ind w:left="6480" w:hanging="360"/>
      </w:pPr>
      <w:rPr>
        <w:rFonts w:ascii="Wingdings" w:hAnsi="Wingdings" w:hint="default"/>
      </w:rPr>
    </w:lvl>
  </w:abstractNum>
  <w:abstractNum w:abstractNumId="5" w15:restartNumberingAfterBreak="0">
    <w:nsid w:val="68E337E6"/>
    <w:multiLevelType w:val="hybridMultilevel"/>
    <w:tmpl w:val="D50269FE"/>
    <w:lvl w:ilvl="0" w:tplc="C576D18A">
      <w:start w:val="1"/>
      <w:numFmt w:val="bullet"/>
      <w:lvlText w:val=""/>
      <w:lvlJc w:val="left"/>
      <w:pPr>
        <w:ind w:left="720" w:hanging="360"/>
      </w:pPr>
      <w:rPr>
        <w:rFonts w:ascii="Symbol" w:hAnsi="Symbol" w:hint="default"/>
      </w:rPr>
    </w:lvl>
    <w:lvl w:ilvl="1" w:tplc="38DE0D78">
      <w:start w:val="1"/>
      <w:numFmt w:val="bullet"/>
      <w:lvlText w:val="o"/>
      <w:lvlJc w:val="left"/>
      <w:pPr>
        <w:ind w:left="1440" w:hanging="360"/>
      </w:pPr>
      <w:rPr>
        <w:rFonts w:ascii="Courier New" w:hAnsi="Courier New" w:hint="default"/>
      </w:rPr>
    </w:lvl>
    <w:lvl w:ilvl="2" w:tplc="34A6469E">
      <w:start w:val="1"/>
      <w:numFmt w:val="bullet"/>
      <w:lvlText w:val=""/>
      <w:lvlJc w:val="left"/>
      <w:pPr>
        <w:ind w:left="2160" w:hanging="360"/>
      </w:pPr>
      <w:rPr>
        <w:rFonts w:ascii="Wingdings" w:hAnsi="Wingdings" w:hint="default"/>
      </w:rPr>
    </w:lvl>
    <w:lvl w:ilvl="3" w:tplc="6E66D54E">
      <w:start w:val="1"/>
      <w:numFmt w:val="bullet"/>
      <w:lvlText w:val=""/>
      <w:lvlJc w:val="left"/>
      <w:pPr>
        <w:ind w:left="2880" w:hanging="360"/>
      </w:pPr>
      <w:rPr>
        <w:rFonts w:ascii="Symbol" w:hAnsi="Symbol" w:hint="default"/>
      </w:rPr>
    </w:lvl>
    <w:lvl w:ilvl="4" w:tplc="B9FC9530">
      <w:start w:val="1"/>
      <w:numFmt w:val="bullet"/>
      <w:lvlText w:val="o"/>
      <w:lvlJc w:val="left"/>
      <w:pPr>
        <w:ind w:left="3600" w:hanging="360"/>
      </w:pPr>
      <w:rPr>
        <w:rFonts w:ascii="Courier New" w:hAnsi="Courier New" w:hint="default"/>
      </w:rPr>
    </w:lvl>
    <w:lvl w:ilvl="5" w:tplc="D63C4290">
      <w:start w:val="1"/>
      <w:numFmt w:val="bullet"/>
      <w:lvlText w:val=""/>
      <w:lvlJc w:val="left"/>
      <w:pPr>
        <w:ind w:left="4320" w:hanging="360"/>
      </w:pPr>
      <w:rPr>
        <w:rFonts w:ascii="Wingdings" w:hAnsi="Wingdings" w:hint="default"/>
      </w:rPr>
    </w:lvl>
    <w:lvl w:ilvl="6" w:tplc="FFDAD0FC">
      <w:start w:val="1"/>
      <w:numFmt w:val="bullet"/>
      <w:lvlText w:val=""/>
      <w:lvlJc w:val="left"/>
      <w:pPr>
        <w:ind w:left="5040" w:hanging="360"/>
      </w:pPr>
      <w:rPr>
        <w:rFonts w:ascii="Symbol" w:hAnsi="Symbol" w:hint="default"/>
      </w:rPr>
    </w:lvl>
    <w:lvl w:ilvl="7" w:tplc="D7882E82">
      <w:start w:val="1"/>
      <w:numFmt w:val="bullet"/>
      <w:lvlText w:val="o"/>
      <w:lvlJc w:val="left"/>
      <w:pPr>
        <w:ind w:left="5760" w:hanging="360"/>
      </w:pPr>
      <w:rPr>
        <w:rFonts w:ascii="Courier New" w:hAnsi="Courier New" w:hint="default"/>
      </w:rPr>
    </w:lvl>
    <w:lvl w:ilvl="8" w:tplc="842E3C34">
      <w:start w:val="1"/>
      <w:numFmt w:val="bullet"/>
      <w:lvlText w:val=""/>
      <w:lvlJc w:val="left"/>
      <w:pPr>
        <w:ind w:left="6480" w:hanging="360"/>
      </w:pPr>
      <w:rPr>
        <w:rFonts w:ascii="Wingdings" w:hAnsi="Wingdings" w:hint="default"/>
      </w:rPr>
    </w:lvl>
  </w:abstractNum>
  <w:abstractNum w:abstractNumId="6" w15:restartNumberingAfterBreak="0">
    <w:nsid w:val="70161B82"/>
    <w:multiLevelType w:val="hybridMultilevel"/>
    <w:tmpl w:val="AF54A484"/>
    <w:lvl w:ilvl="0" w:tplc="E1BA33F0">
      <w:start w:val="1"/>
      <w:numFmt w:val="bullet"/>
      <w:lvlText w:val=""/>
      <w:lvlJc w:val="left"/>
      <w:pPr>
        <w:ind w:left="720" w:hanging="360"/>
      </w:pPr>
      <w:rPr>
        <w:rFonts w:ascii="Symbol" w:hAnsi="Symbol" w:hint="default"/>
      </w:rPr>
    </w:lvl>
    <w:lvl w:ilvl="1" w:tplc="CF1AA454">
      <w:start w:val="1"/>
      <w:numFmt w:val="bullet"/>
      <w:lvlText w:val="o"/>
      <w:lvlJc w:val="left"/>
      <w:pPr>
        <w:ind w:left="1440" w:hanging="360"/>
      </w:pPr>
      <w:rPr>
        <w:rFonts w:ascii="Courier New" w:hAnsi="Courier New" w:hint="default"/>
      </w:rPr>
    </w:lvl>
    <w:lvl w:ilvl="2" w:tplc="C5AA7D2A">
      <w:start w:val="1"/>
      <w:numFmt w:val="bullet"/>
      <w:lvlText w:val=""/>
      <w:lvlJc w:val="left"/>
      <w:pPr>
        <w:ind w:left="2160" w:hanging="360"/>
      </w:pPr>
      <w:rPr>
        <w:rFonts w:ascii="Wingdings" w:hAnsi="Wingdings" w:hint="default"/>
      </w:rPr>
    </w:lvl>
    <w:lvl w:ilvl="3" w:tplc="48EE60FA">
      <w:start w:val="1"/>
      <w:numFmt w:val="bullet"/>
      <w:lvlText w:val=""/>
      <w:lvlJc w:val="left"/>
      <w:pPr>
        <w:ind w:left="2880" w:hanging="360"/>
      </w:pPr>
      <w:rPr>
        <w:rFonts w:ascii="Symbol" w:hAnsi="Symbol" w:hint="default"/>
      </w:rPr>
    </w:lvl>
    <w:lvl w:ilvl="4" w:tplc="E90400B8">
      <w:start w:val="1"/>
      <w:numFmt w:val="bullet"/>
      <w:lvlText w:val="o"/>
      <w:lvlJc w:val="left"/>
      <w:pPr>
        <w:ind w:left="3600" w:hanging="360"/>
      </w:pPr>
      <w:rPr>
        <w:rFonts w:ascii="Courier New" w:hAnsi="Courier New" w:hint="default"/>
      </w:rPr>
    </w:lvl>
    <w:lvl w:ilvl="5" w:tplc="100E7042">
      <w:start w:val="1"/>
      <w:numFmt w:val="bullet"/>
      <w:lvlText w:val=""/>
      <w:lvlJc w:val="left"/>
      <w:pPr>
        <w:ind w:left="4320" w:hanging="360"/>
      </w:pPr>
      <w:rPr>
        <w:rFonts w:ascii="Wingdings" w:hAnsi="Wingdings" w:hint="default"/>
      </w:rPr>
    </w:lvl>
    <w:lvl w:ilvl="6" w:tplc="05E69546">
      <w:start w:val="1"/>
      <w:numFmt w:val="bullet"/>
      <w:lvlText w:val=""/>
      <w:lvlJc w:val="left"/>
      <w:pPr>
        <w:ind w:left="5040" w:hanging="360"/>
      </w:pPr>
      <w:rPr>
        <w:rFonts w:ascii="Symbol" w:hAnsi="Symbol" w:hint="default"/>
      </w:rPr>
    </w:lvl>
    <w:lvl w:ilvl="7" w:tplc="4B50C36E">
      <w:start w:val="1"/>
      <w:numFmt w:val="bullet"/>
      <w:lvlText w:val="o"/>
      <w:lvlJc w:val="left"/>
      <w:pPr>
        <w:ind w:left="5760" w:hanging="360"/>
      </w:pPr>
      <w:rPr>
        <w:rFonts w:ascii="Courier New" w:hAnsi="Courier New" w:hint="default"/>
      </w:rPr>
    </w:lvl>
    <w:lvl w:ilvl="8" w:tplc="C9A2FD3A">
      <w:start w:val="1"/>
      <w:numFmt w:val="bullet"/>
      <w:lvlText w:val=""/>
      <w:lvlJc w:val="left"/>
      <w:pPr>
        <w:ind w:left="6480" w:hanging="360"/>
      </w:pPr>
      <w:rPr>
        <w:rFonts w:ascii="Wingdings" w:hAnsi="Wingdings" w:hint="default"/>
      </w:rPr>
    </w:lvl>
  </w:abstractNum>
  <w:abstractNum w:abstractNumId="7" w15:restartNumberingAfterBreak="0">
    <w:nsid w:val="7A16B97A"/>
    <w:multiLevelType w:val="hybridMultilevel"/>
    <w:tmpl w:val="47F4DCE2"/>
    <w:lvl w:ilvl="0" w:tplc="4FAA8590">
      <w:start w:val="1"/>
      <w:numFmt w:val="bullet"/>
      <w:lvlText w:val=""/>
      <w:lvlJc w:val="left"/>
      <w:pPr>
        <w:ind w:left="720" w:hanging="360"/>
      </w:pPr>
      <w:rPr>
        <w:rFonts w:ascii="Symbol" w:hAnsi="Symbol" w:hint="default"/>
      </w:rPr>
    </w:lvl>
    <w:lvl w:ilvl="1" w:tplc="4A1ECC02">
      <w:start w:val="1"/>
      <w:numFmt w:val="bullet"/>
      <w:lvlText w:val="o"/>
      <w:lvlJc w:val="left"/>
      <w:pPr>
        <w:ind w:left="1440" w:hanging="360"/>
      </w:pPr>
      <w:rPr>
        <w:rFonts w:ascii="Courier New" w:hAnsi="Courier New" w:hint="default"/>
      </w:rPr>
    </w:lvl>
    <w:lvl w:ilvl="2" w:tplc="EF04237E">
      <w:start w:val="1"/>
      <w:numFmt w:val="bullet"/>
      <w:lvlText w:val=""/>
      <w:lvlJc w:val="left"/>
      <w:pPr>
        <w:ind w:left="2160" w:hanging="360"/>
      </w:pPr>
      <w:rPr>
        <w:rFonts w:ascii="Wingdings" w:hAnsi="Wingdings" w:hint="default"/>
      </w:rPr>
    </w:lvl>
    <w:lvl w:ilvl="3" w:tplc="F3082104">
      <w:start w:val="1"/>
      <w:numFmt w:val="bullet"/>
      <w:lvlText w:val=""/>
      <w:lvlJc w:val="left"/>
      <w:pPr>
        <w:ind w:left="2880" w:hanging="360"/>
      </w:pPr>
      <w:rPr>
        <w:rFonts w:ascii="Symbol" w:hAnsi="Symbol" w:hint="default"/>
      </w:rPr>
    </w:lvl>
    <w:lvl w:ilvl="4" w:tplc="D928778A">
      <w:start w:val="1"/>
      <w:numFmt w:val="bullet"/>
      <w:lvlText w:val="o"/>
      <w:lvlJc w:val="left"/>
      <w:pPr>
        <w:ind w:left="3600" w:hanging="360"/>
      </w:pPr>
      <w:rPr>
        <w:rFonts w:ascii="Courier New" w:hAnsi="Courier New" w:hint="default"/>
      </w:rPr>
    </w:lvl>
    <w:lvl w:ilvl="5" w:tplc="4E08DC6E">
      <w:start w:val="1"/>
      <w:numFmt w:val="bullet"/>
      <w:lvlText w:val=""/>
      <w:lvlJc w:val="left"/>
      <w:pPr>
        <w:ind w:left="4320" w:hanging="360"/>
      </w:pPr>
      <w:rPr>
        <w:rFonts w:ascii="Wingdings" w:hAnsi="Wingdings" w:hint="default"/>
      </w:rPr>
    </w:lvl>
    <w:lvl w:ilvl="6" w:tplc="FD1C9E16">
      <w:start w:val="1"/>
      <w:numFmt w:val="bullet"/>
      <w:lvlText w:val=""/>
      <w:lvlJc w:val="left"/>
      <w:pPr>
        <w:ind w:left="5040" w:hanging="360"/>
      </w:pPr>
      <w:rPr>
        <w:rFonts w:ascii="Symbol" w:hAnsi="Symbol" w:hint="default"/>
      </w:rPr>
    </w:lvl>
    <w:lvl w:ilvl="7" w:tplc="4252BAE6">
      <w:start w:val="1"/>
      <w:numFmt w:val="bullet"/>
      <w:lvlText w:val="o"/>
      <w:lvlJc w:val="left"/>
      <w:pPr>
        <w:ind w:left="5760" w:hanging="360"/>
      </w:pPr>
      <w:rPr>
        <w:rFonts w:ascii="Courier New" w:hAnsi="Courier New" w:hint="default"/>
      </w:rPr>
    </w:lvl>
    <w:lvl w:ilvl="8" w:tplc="A98E5D52">
      <w:start w:val="1"/>
      <w:numFmt w:val="bullet"/>
      <w:lvlText w:val=""/>
      <w:lvlJc w:val="left"/>
      <w:pPr>
        <w:ind w:left="6480" w:hanging="360"/>
      </w:pPr>
      <w:rPr>
        <w:rFonts w:ascii="Wingdings" w:hAnsi="Wingdings" w:hint="default"/>
      </w:rPr>
    </w:lvl>
  </w:abstractNum>
  <w:abstractNum w:abstractNumId="8" w15:restartNumberingAfterBreak="0">
    <w:nsid w:val="7EA59BDC"/>
    <w:multiLevelType w:val="hybridMultilevel"/>
    <w:tmpl w:val="EF9CBEAA"/>
    <w:lvl w:ilvl="0" w:tplc="3A043F8A">
      <w:start w:val="1"/>
      <w:numFmt w:val="bullet"/>
      <w:lvlText w:val=""/>
      <w:lvlJc w:val="left"/>
      <w:pPr>
        <w:ind w:left="720" w:hanging="360"/>
      </w:pPr>
      <w:rPr>
        <w:rFonts w:ascii="Symbol" w:hAnsi="Symbol" w:hint="default"/>
      </w:rPr>
    </w:lvl>
    <w:lvl w:ilvl="1" w:tplc="DF266F54">
      <w:start w:val="1"/>
      <w:numFmt w:val="bullet"/>
      <w:lvlText w:val="o"/>
      <w:lvlJc w:val="left"/>
      <w:pPr>
        <w:ind w:left="1440" w:hanging="360"/>
      </w:pPr>
      <w:rPr>
        <w:rFonts w:ascii="Courier New" w:hAnsi="Courier New" w:hint="default"/>
      </w:rPr>
    </w:lvl>
    <w:lvl w:ilvl="2" w:tplc="61C4029E">
      <w:start w:val="1"/>
      <w:numFmt w:val="bullet"/>
      <w:lvlText w:val=""/>
      <w:lvlJc w:val="left"/>
      <w:pPr>
        <w:ind w:left="2160" w:hanging="360"/>
      </w:pPr>
      <w:rPr>
        <w:rFonts w:ascii="Wingdings" w:hAnsi="Wingdings" w:hint="default"/>
      </w:rPr>
    </w:lvl>
    <w:lvl w:ilvl="3" w:tplc="C5ACC95A">
      <w:start w:val="1"/>
      <w:numFmt w:val="bullet"/>
      <w:lvlText w:val=""/>
      <w:lvlJc w:val="left"/>
      <w:pPr>
        <w:ind w:left="2880" w:hanging="360"/>
      </w:pPr>
      <w:rPr>
        <w:rFonts w:ascii="Symbol" w:hAnsi="Symbol" w:hint="default"/>
      </w:rPr>
    </w:lvl>
    <w:lvl w:ilvl="4" w:tplc="00B6A4BC">
      <w:start w:val="1"/>
      <w:numFmt w:val="bullet"/>
      <w:lvlText w:val="o"/>
      <w:lvlJc w:val="left"/>
      <w:pPr>
        <w:ind w:left="3600" w:hanging="360"/>
      </w:pPr>
      <w:rPr>
        <w:rFonts w:ascii="Courier New" w:hAnsi="Courier New" w:hint="default"/>
      </w:rPr>
    </w:lvl>
    <w:lvl w:ilvl="5" w:tplc="5EE4C080">
      <w:start w:val="1"/>
      <w:numFmt w:val="bullet"/>
      <w:lvlText w:val=""/>
      <w:lvlJc w:val="left"/>
      <w:pPr>
        <w:ind w:left="4320" w:hanging="360"/>
      </w:pPr>
      <w:rPr>
        <w:rFonts w:ascii="Wingdings" w:hAnsi="Wingdings" w:hint="default"/>
      </w:rPr>
    </w:lvl>
    <w:lvl w:ilvl="6" w:tplc="89389834">
      <w:start w:val="1"/>
      <w:numFmt w:val="bullet"/>
      <w:lvlText w:val=""/>
      <w:lvlJc w:val="left"/>
      <w:pPr>
        <w:ind w:left="5040" w:hanging="360"/>
      </w:pPr>
      <w:rPr>
        <w:rFonts w:ascii="Symbol" w:hAnsi="Symbol" w:hint="default"/>
      </w:rPr>
    </w:lvl>
    <w:lvl w:ilvl="7" w:tplc="8EB42B6C">
      <w:start w:val="1"/>
      <w:numFmt w:val="bullet"/>
      <w:lvlText w:val="o"/>
      <w:lvlJc w:val="left"/>
      <w:pPr>
        <w:ind w:left="5760" w:hanging="360"/>
      </w:pPr>
      <w:rPr>
        <w:rFonts w:ascii="Courier New" w:hAnsi="Courier New" w:hint="default"/>
      </w:rPr>
    </w:lvl>
    <w:lvl w:ilvl="8" w:tplc="54E8A3EE">
      <w:start w:val="1"/>
      <w:numFmt w:val="bullet"/>
      <w:lvlText w:val=""/>
      <w:lvlJc w:val="left"/>
      <w:pPr>
        <w:ind w:left="6480" w:hanging="360"/>
      </w:pPr>
      <w:rPr>
        <w:rFonts w:ascii="Wingdings" w:hAnsi="Wingdings" w:hint="default"/>
      </w:rPr>
    </w:lvl>
  </w:abstractNum>
  <w:num w:numId="1" w16cid:durableId="2135175960">
    <w:abstractNumId w:val="3"/>
  </w:num>
  <w:num w:numId="2" w16cid:durableId="866985770">
    <w:abstractNumId w:val="8"/>
  </w:num>
  <w:num w:numId="3" w16cid:durableId="1294872499">
    <w:abstractNumId w:val="6"/>
  </w:num>
  <w:num w:numId="4" w16cid:durableId="2025662950">
    <w:abstractNumId w:val="7"/>
  </w:num>
  <w:num w:numId="5" w16cid:durableId="672949961">
    <w:abstractNumId w:val="2"/>
  </w:num>
  <w:num w:numId="6" w16cid:durableId="1964340537">
    <w:abstractNumId w:val="4"/>
  </w:num>
  <w:num w:numId="7" w16cid:durableId="10960898">
    <w:abstractNumId w:val="1"/>
  </w:num>
  <w:num w:numId="8" w16cid:durableId="1904297112">
    <w:abstractNumId w:val="5"/>
  </w:num>
  <w:num w:numId="9" w16cid:durableId="132979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2A4AE2"/>
    <w:rsid w:val="00131B40"/>
    <w:rsid w:val="00811550"/>
    <w:rsid w:val="0088653A"/>
    <w:rsid w:val="03A7AA2A"/>
    <w:rsid w:val="092460A8"/>
    <w:rsid w:val="0F4A7E47"/>
    <w:rsid w:val="15D8D5D4"/>
    <w:rsid w:val="166CB2F1"/>
    <w:rsid w:val="284A7DFE"/>
    <w:rsid w:val="337AABB4"/>
    <w:rsid w:val="3BBCF05D"/>
    <w:rsid w:val="40AD9E20"/>
    <w:rsid w:val="450EA2CA"/>
    <w:rsid w:val="4744DA43"/>
    <w:rsid w:val="592A4AE2"/>
    <w:rsid w:val="617936D5"/>
    <w:rsid w:val="61D2D109"/>
    <w:rsid w:val="71CEBC66"/>
    <w:rsid w:val="795544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A4AE2"/>
  <w15:chartTrackingRefBased/>
  <w15:docId w15:val="{E7A33C0B-C52A-4100-B24F-47C3D998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450EA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0F4A7E47"/>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166CB2F1"/>
    <w:pPr>
      <w:keepNext/>
      <w:keepLines/>
      <w:spacing w:before="80" w:after="40"/>
      <w:outlineLvl w:val="3"/>
    </w:pPr>
    <w:rPr>
      <w:rFonts w:eastAsiaTheme="minorEastAsia" w:cstheme="majorEastAsia"/>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F4A7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FEDD7-7B38-4EB2-BAD5-2688DA3DFCBC}">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A90FDB85-F78E-4DE3-90F6-27E1B12179A0}">
  <ds:schemaRefs>
    <ds:schemaRef ds:uri="http://schemas.microsoft.com/sharepoint/v3/contenttype/forms"/>
  </ds:schemaRefs>
</ds:datastoreItem>
</file>

<file path=customXml/itemProps3.xml><?xml version="1.0" encoding="utf-8"?>
<ds:datastoreItem xmlns:ds="http://schemas.openxmlformats.org/officeDocument/2006/customXml" ds:itemID="{041031A7-76CD-41B6-947F-B077DF1C5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1193</Words>
  <Characters>6562</Characters>
  <Application>Microsoft Office Word</Application>
  <DocSecurity>0</DocSecurity>
  <Lines>54</Lines>
  <Paragraphs>15</Paragraphs>
  <ScaleCrop>false</ScaleCrop>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2025-06-23T14:10:00Z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