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8BC13" w14:textId="455A7037" w:rsidR="004B591E" w:rsidRPr="006C6737" w:rsidRDefault="4A4A4666" w:rsidP="0CEC8DBF">
      <w:pPr>
        <w:pStyle w:val="Ttulo2"/>
        <w:spacing w:before="299" w:after="299" w:line="276" w:lineRule="auto"/>
        <w:jc w:val="both"/>
        <w:rPr>
          <w:rFonts w:ascii="Arial" w:eastAsia="Helvetica" w:hAnsi="Arial" w:cs="Arial"/>
          <w:b/>
          <w:bCs/>
          <w:caps/>
          <w:color w:val="0A4149"/>
          <w:sz w:val="36"/>
          <w:szCs w:val="36"/>
          <w:lang w:val="en-US"/>
        </w:rPr>
      </w:pPr>
      <w:r w:rsidRPr="006C6737">
        <w:rPr>
          <w:rFonts w:ascii="Arial" w:eastAsia="Helvetica" w:hAnsi="Arial" w:cs="Arial"/>
          <w:b/>
          <w:bCs/>
          <w:caps/>
          <w:color w:val="0A4149"/>
          <w:sz w:val="36"/>
          <w:szCs w:val="36"/>
        </w:rPr>
        <w:t>The Plastic Illusion: Consumer Safety and Rights in the EU</w:t>
      </w:r>
    </w:p>
    <w:p w14:paraId="51BBEE06" w14:textId="48C533D0" w:rsidR="004B591E" w:rsidRPr="006C6737" w:rsidRDefault="4A4A4666" w:rsidP="0CEC8DBF">
      <w:pPr>
        <w:shd w:val="clear" w:color="auto" w:fill="FFFFFF" w:themeFill="background1"/>
        <w:spacing w:after="150" w:line="276" w:lineRule="auto"/>
        <w:jc w:val="both"/>
        <w:rPr>
          <w:rFonts w:ascii="Arial" w:eastAsia="Encode Sans" w:hAnsi="Arial" w:cs="Arial"/>
          <w:color w:val="333333"/>
          <w:lang w:val="en-US"/>
        </w:rPr>
      </w:pPr>
      <w:r w:rsidRPr="006C6737">
        <w:rPr>
          <w:rFonts w:ascii="Arial" w:eastAsia="Encode Sans" w:hAnsi="Arial" w:cs="Arial"/>
          <w:color w:val="333333"/>
          <w:lang w:val="en-US"/>
        </w:rPr>
        <w:t xml:space="preserve">Plastic is everywhere—in your fridge, your phone, your car, even your clothes. It’s wrapped around your vegetables, lines your coffee cup, and hides in your toothpaste. And while the European Union has some of the strongest consumer protection laws in the world, the truth about plastic safety is more complicated.  </w:t>
      </w:r>
    </w:p>
    <w:p w14:paraId="68E0835E" w14:textId="455C8DD8"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eastAsia="Encode Sans" w:hAnsi="Arial" w:cs="Arial"/>
          <w:color w:val="333333"/>
          <w:lang w:val="en-US"/>
        </w:rPr>
        <w:t xml:space="preserve">Yes, the EU bans certain toxic substances. Yes, there are safety standards. But do they go far enough? </w:t>
      </w:r>
    </w:p>
    <w:p w14:paraId="4584F92A" w14:textId="176FD7D5"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eastAsia="Encode Sans" w:hAnsi="Arial" w:cs="Arial"/>
          <w:color w:val="333333"/>
          <w:lang w:val="en-US"/>
        </w:rPr>
        <w:t xml:space="preserve"> </w:t>
      </w:r>
    </w:p>
    <w:p w14:paraId="6BCBD327" w14:textId="0B9F2591" w:rsidR="004B591E" w:rsidRPr="006C6737" w:rsidRDefault="4A4A4666" w:rsidP="0CEC8DBF">
      <w:pPr>
        <w:pStyle w:val="Ttulo3"/>
        <w:shd w:val="clear" w:color="auto" w:fill="FFFFFF" w:themeFill="background1"/>
        <w:spacing w:before="0" w:after="150" w:line="276" w:lineRule="auto"/>
        <w:jc w:val="both"/>
        <w:rPr>
          <w:rFonts w:ascii="Arial" w:hAnsi="Arial" w:cs="Arial"/>
        </w:rPr>
      </w:pPr>
      <w:r w:rsidRPr="006C6737">
        <w:rPr>
          <w:rFonts w:ascii="Arial" w:eastAsia="Helvetica" w:hAnsi="Arial" w:cs="Arial"/>
          <w:b/>
          <w:bCs/>
          <w:caps/>
          <w:color w:val="0A4149"/>
          <w:lang w:val="en-US"/>
        </w:rPr>
        <w:t xml:space="preserve">The Regulatory Framework: Where we are </w:t>
      </w:r>
    </w:p>
    <w:p w14:paraId="062CF171" w14:textId="5AF3FA6E"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eastAsia="Encode Sans" w:hAnsi="Arial" w:cs="Arial"/>
          <w:color w:val="333333"/>
          <w:lang w:val="en-US"/>
        </w:rPr>
        <w:t xml:space="preserve">At the heart of EU plastic regulation is the </w:t>
      </w:r>
      <w:r w:rsidRPr="006C6737">
        <w:rPr>
          <w:rFonts w:ascii="Arial" w:eastAsia="Encode Sans" w:hAnsi="Arial" w:cs="Arial"/>
          <w:b/>
          <w:bCs/>
          <w:color w:val="333333"/>
          <w:lang w:val="en-US"/>
        </w:rPr>
        <w:t>General Product Safety Directive (GPSD)</w:t>
      </w:r>
      <w:r w:rsidRPr="006C6737">
        <w:rPr>
          <w:rFonts w:ascii="Arial" w:eastAsia="Encode Sans" w:hAnsi="Arial" w:cs="Arial"/>
          <w:color w:val="333333"/>
          <w:lang w:val="en-US"/>
        </w:rPr>
        <w:t xml:space="preserve"> and specific legislation on </w:t>
      </w:r>
      <w:r w:rsidRPr="006C6737">
        <w:rPr>
          <w:rFonts w:ascii="Arial" w:eastAsia="Encode Sans" w:hAnsi="Arial" w:cs="Arial"/>
          <w:b/>
          <w:bCs/>
          <w:color w:val="333333"/>
          <w:lang w:val="en-US"/>
        </w:rPr>
        <w:t>Food Contact Materials (FCMs)</w:t>
      </w:r>
      <w:r w:rsidRPr="006C6737">
        <w:rPr>
          <w:rFonts w:ascii="Arial" w:eastAsia="Encode Sans" w:hAnsi="Arial" w:cs="Arial"/>
          <w:color w:val="333333"/>
          <w:lang w:val="en-US"/>
        </w:rPr>
        <w:t xml:space="preserve">. These frameworks set rules for plastics that </w:t>
      </w:r>
      <w:proofErr w:type="gramStart"/>
      <w:r w:rsidRPr="006C6737">
        <w:rPr>
          <w:rFonts w:ascii="Arial" w:eastAsia="Encode Sans" w:hAnsi="Arial" w:cs="Arial"/>
          <w:color w:val="333333"/>
          <w:lang w:val="en-US"/>
        </w:rPr>
        <w:t>come into contact with</w:t>
      </w:r>
      <w:proofErr w:type="gramEnd"/>
      <w:r w:rsidRPr="006C6737">
        <w:rPr>
          <w:rFonts w:ascii="Arial" w:eastAsia="Encode Sans" w:hAnsi="Arial" w:cs="Arial"/>
          <w:color w:val="333333"/>
          <w:lang w:val="en-US"/>
        </w:rPr>
        <w:t xml:space="preserve"> food, cosmetics, toys, and electronics—focusing on human health and chemical exposure. </w:t>
      </w:r>
    </w:p>
    <w:p w14:paraId="4E652F42" w14:textId="685F62F0"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eastAsia="Encode Sans" w:hAnsi="Arial" w:cs="Arial"/>
          <w:color w:val="333333"/>
          <w:lang w:val="en-US"/>
        </w:rPr>
        <w:t xml:space="preserve">Some key instruments include: </w:t>
      </w:r>
    </w:p>
    <w:p w14:paraId="244A6325" w14:textId="186873E5" w:rsidR="004B591E" w:rsidRPr="006C6737" w:rsidRDefault="4A4A4666" w:rsidP="0CEC8DBF">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lang w:val="en-US"/>
        </w:rPr>
      </w:pPr>
      <w:hyperlink r:id="rId10">
        <w:r w:rsidRPr="006C6737">
          <w:rPr>
            <w:rStyle w:val="Hipervnculo"/>
            <w:rFonts w:ascii="Arial" w:eastAsia="Encode Sans" w:hAnsi="Arial" w:cs="Arial"/>
            <w:b/>
            <w:bCs/>
            <w:color w:val="028287"/>
            <w:lang w:val="en-US"/>
          </w:rPr>
          <w:t>Packaging and Packaging Waste Regulation (PPWR)</w:t>
        </w:r>
      </w:hyperlink>
      <w:r w:rsidRPr="006C6737">
        <w:rPr>
          <w:rFonts w:ascii="Arial" w:eastAsia="Encode Sans" w:hAnsi="Arial" w:cs="Arial"/>
          <w:b/>
          <w:bCs/>
          <w:color w:val="333333"/>
          <w:lang w:val="en-US"/>
        </w:rPr>
        <w:t>:</w:t>
      </w:r>
      <w:r w:rsidRPr="006C6737">
        <w:rPr>
          <w:rFonts w:ascii="Arial" w:eastAsia="Encode Sans" w:hAnsi="Arial" w:cs="Arial"/>
          <w:color w:val="333333"/>
          <w:lang w:val="en-US"/>
        </w:rPr>
        <w:t xml:space="preserve"> A key legislative update aiming to curb packaging waste across the EU by making all packaging recyclable, reducing over-packaging, and setting reuse and recycled content targets. Unlike its predecessor directive, it imposes uniform rules directly on all Member States, pushing businesses toward circular, waste-free systems. </w:t>
      </w:r>
    </w:p>
    <w:p w14:paraId="7651BDD5" w14:textId="07448326" w:rsidR="004B591E" w:rsidRPr="006C6737" w:rsidRDefault="4A4A4666" w:rsidP="0CEC8DBF">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lang w:val="en-US"/>
        </w:rPr>
      </w:pPr>
      <w:hyperlink r:id="rId11">
        <w:r w:rsidRPr="006C6737">
          <w:rPr>
            <w:rStyle w:val="Hipervnculo"/>
            <w:rFonts w:ascii="Arial" w:eastAsia="Encode Sans" w:hAnsi="Arial" w:cs="Arial"/>
            <w:b/>
            <w:bCs/>
            <w:color w:val="028287"/>
            <w:lang w:val="en-US"/>
          </w:rPr>
          <w:t>REACH Regulation</w:t>
        </w:r>
      </w:hyperlink>
      <w:r w:rsidRPr="006C6737">
        <w:rPr>
          <w:rFonts w:ascii="Arial" w:eastAsia="Encode Sans" w:hAnsi="Arial" w:cs="Arial"/>
          <w:color w:val="333333"/>
          <w:lang w:val="en-US"/>
        </w:rPr>
        <w:t xml:space="preserve"> (Registration, Evaluation, Authorisation and Restriction of Chemicals): A cornerstone of chemical safety that tracks substances in plastics, restricts the most dangerous, and demands transparency from manufacturers. </w:t>
      </w:r>
    </w:p>
    <w:p w14:paraId="4819C037" w14:textId="712BA742" w:rsidR="004B591E" w:rsidRPr="006C6737" w:rsidRDefault="4A4A4666" w:rsidP="0CEC8DBF">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lang w:val="en-US"/>
        </w:rPr>
      </w:pPr>
      <w:hyperlink r:id="rId12">
        <w:r w:rsidRPr="006C6737">
          <w:rPr>
            <w:rStyle w:val="Hipervnculo"/>
            <w:rFonts w:ascii="Arial" w:eastAsia="Encode Sans" w:hAnsi="Arial" w:cs="Arial"/>
            <w:b/>
            <w:bCs/>
            <w:color w:val="028287"/>
            <w:lang w:val="en-US"/>
          </w:rPr>
          <w:t>Plastic Food Contact Regulation</w:t>
        </w:r>
      </w:hyperlink>
      <w:r w:rsidRPr="006C6737">
        <w:rPr>
          <w:rFonts w:ascii="Arial" w:eastAsia="Encode Sans" w:hAnsi="Arial" w:cs="Arial"/>
          <w:color w:val="333333"/>
          <w:lang w:val="en-US"/>
        </w:rPr>
        <w:t xml:space="preserve"> (EU 10/2011): Covers the materials used in packaging and containers, ensuring they don’t release harmful chemicals into food under “normal” conditions.</w:t>
      </w:r>
    </w:p>
    <w:p w14:paraId="7789ED8E" w14:textId="6E7912AE" w:rsidR="004B591E" w:rsidRPr="006C6737" w:rsidRDefault="4A4A4666" w:rsidP="0CEC8DBF">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lang w:val="en-US"/>
        </w:rPr>
      </w:pPr>
      <w:hyperlink r:id="rId13">
        <w:r w:rsidRPr="006C6737">
          <w:rPr>
            <w:rStyle w:val="Hipervnculo"/>
            <w:rFonts w:ascii="Arial" w:eastAsia="Encode Sans" w:hAnsi="Arial" w:cs="Arial"/>
            <w:b/>
            <w:bCs/>
            <w:color w:val="028287"/>
            <w:lang w:val="en-US"/>
          </w:rPr>
          <w:t>Single-Use Plastics Directive</w:t>
        </w:r>
      </w:hyperlink>
      <w:r w:rsidRPr="006C6737">
        <w:rPr>
          <w:rFonts w:ascii="Arial" w:eastAsia="Encode Sans" w:hAnsi="Arial" w:cs="Arial"/>
          <w:color w:val="333333"/>
          <w:lang w:val="en-US"/>
        </w:rPr>
        <w:t xml:space="preserve">: Bans specific items like plastic cutlery, straws, and cotton buds—not for health reasons per se, but for environmental protection. </w:t>
      </w:r>
    </w:p>
    <w:p w14:paraId="3AE28F31" w14:textId="192DF271"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eastAsia="Encode Sans" w:hAnsi="Arial" w:cs="Arial"/>
          <w:color w:val="333333"/>
          <w:lang w:val="en-US"/>
        </w:rPr>
        <w:t xml:space="preserve"> </w:t>
      </w:r>
    </w:p>
    <w:p w14:paraId="154179F7" w14:textId="3877D465"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eastAsia="Encode Sans" w:hAnsi="Arial" w:cs="Arial"/>
          <w:color w:val="333333"/>
          <w:lang w:val="en-US"/>
        </w:rPr>
        <w:t xml:space="preserve">Compared to many parts of the world, plastics in the EU are </w:t>
      </w:r>
      <w:r w:rsidRPr="006C6737">
        <w:rPr>
          <w:rFonts w:ascii="Arial" w:eastAsia="Encode Sans" w:hAnsi="Arial" w:cs="Arial"/>
          <w:b/>
          <w:bCs/>
          <w:color w:val="333333"/>
          <w:lang w:val="en-US"/>
        </w:rPr>
        <w:t>relatively safer</w:t>
      </w:r>
      <w:r w:rsidRPr="006C6737">
        <w:rPr>
          <w:rFonts w:ascii="Arial" w:eastAsia="Encode Sans" w:hAnsi="Arial" w:cs="Arial"/>
          <w:color w:val="333333"/>
          <w:lang w:val="en-US"/>
        </w:rPr>
        <w:t xml:space="preserve">, thanks to this precautionary regulatory approach and strong chemical overwatch. For example, </w:t>
      </w:r>
      <w:r w:rsidRPr="006C6737">
        <w:rPr>
          <w:rFonts w:ascii="Arial" w:eastAsia="Encode Sans" w:hAnsi="Arial" w:cs="Arial"/>
          <w:b/>
          <w:bCs/>
          <w:color w:val="333333"/>
          <w:lang w:val="en-US"/>
        </w:rPr>
        <w:t>bisphenol A (BPA)</w:t>
      </w:r>
      <w:r w:rsidRPr="006C6737">
        <w:rPr>
          <w:rFonts w:ascii="Arial" w:eastAsia="Encode Sans" w:hAnsi="Arial" w:cs="Arial"/>
          <w:color w:val="333333"/>
          <w:lang w:val="en-US"/>
        </w:rPr>
        <w:t xml:space="preserve">—an endocrine disruptor—is banned in baby bottles (Directive 2011/8/EU) and heavily restricted in thermal paper and food containers. Similarly, certain </w:t>
      </w:r>
      <w:r w:rsidRPr="006C6737">
        <w:rPr>
          <w:rFonts w:ascii="Arial" w:eastAsia="Encode Sans" w:hAnsi="Arial" w:cs="Arial"/>
          <w:b/>
          <w:bCs/>
          <w:color w:val="333333"/>
          <w:lang w:val="en-US"/>
        </w:rPr>
        <w:t>phthalates</w:t>
      </w:r>
      <w:r w:rsidRPr="006C6737">
        <w:rPr>
          <w:rFonts w:ascii="Arial" w:eastAsia="Encode Sans" w:hAnsi="Arial" w:cs="Arial"/>
          <w:color w:val="333333"/>
          <w:lang w:val="en-US"/>
        </w:rPr>
        <w:t xml:space="preserve"> have been restricted in toys and childcare articles (Annex XVII to REACH), based on evidence of reproductive and developmental toxicity. </w:t>
      </w:r>
    </w:p>
    <w:p w14:paraId="6B304F2D" w14:textId="7445D30C"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eastAsia="Encode Sans" w:hAnsi="Arial" w:cs="Arial"/>
          <w:color w:val="333333"/>
          <w:lang w:val="en-US"/>
        </w:rPr>
        <w:t xml:space="preserve">Yet “relatively safe” is not the same as </w:t>
      </w:r>
      <w:r w:rsidRPr="006C6737">
        <w:rPr>
          <w:rFonts w:ascii="Arial" w:eastAsia="Encode Sans" w:hAnsi="Arial" w:cs="Arial"/>
          <w:b/>
          <w:bCs/>
          <w:color w:val="333333"/>
          <w:lang w:val="en-US"/>
        </w:rPr>
        <w:t>risk-free</w:t>
      </w:r>
      <w:r w:rsidRPr="006C6737">
        <w:rPr>
          <w:rFonts w:ascii="Arial" w:eastAsia="Encode Sans" w:hAnsi="Arial" w:cs="Arial"/>
          <w:color w:val="333333"/>
          <w:lang w:val="en-US"/>
        </w:rPr>
        <w:t xml:space="preserve">. A 2022 report by the </w:t>
      </w:r>
      <w:r w:rsidRPr="006C6737">
        <w:rPr>
          <w:rFonts w:ascii="Arial" w:eastAsia="Encode Sans" w:hAnsi="Arial" w:cs="Arial"/>
          <w:b/>
          <w:bCs/>
          <w:color w:val="333333"/>
          <w:lang w:val="en-US"/>
        </w:rPr>
        <w:t>European Chemicals Agency (ECHA)</w:t>
      </w:r>
      <w:r w:rsidRPr="006C6737">
        <w:rPr>
          <w:rFonts w:ascii="Arial" w:eastAsia="Encode Sans" w:hAnsi="Arial" w:cs="Arial"/>
          <w:color w:val="333333"/>
          <w:lang w:val="en-US"/>
        </w:rPr>
        <w:t xml:space="preserve"> acknowledged that many plastic additives lack complete </w:t>
      </w:r>
      <w:r w:rsidRPr="006C6737">
        <w:rPr>
          <w:rFonts w:ascii="Arial" w:eastAsia="Encode Sans" w:hAnsi="Arial" w:cs="Arial"/>
          <w:color w:val="333333"/>
          <w:lang w:val="en-US"/>
        </w:rPr>
        <w:lastRenderedPageBreak/>
        <w:t xml:space="preserve">toxicity profiles, and </w:t>
      </w:r>
      <w:r w:rsidRPr="006C6737">
        <w:rPr>
          <w:rFonts w:ascii="Arial" w:eastAsia="Encode Sans" w:hAnsi="Arial" w:cs="Arial"/>
          <w:b/>
          <w:bCs/>
          <w:color w:val="333333"/>
          <w:lang w:val="en-US"/>
        </w:rPr>
        <w:t>cumulative exposure</w:t>
      </w:r>
      <w:r w:rsidRPr="006C6737">
        <w:rPr>
          <w:rFonts w:ascii="Arial" w:eastAsia="Encode Sans" w:hAnsi="Arial" w:cs="Arial"/>
          <w:color w:val="333333"/>
          <w:lang w:val="en-US"/>
        </w:rPr>
        <w:t xml:space="preserve">—especially the so-called </w:t>
      </w:r>
      <w:r w:rsidRPr="006C6737">
        <w:rPr>
          <w:rFonts w:ascii="Arial" w:eastAsia="Encode Sans" w:hAnsi="Arial" w:cs="Arial"/>
          <w:b/>
          <w:bCs/>
          <w:color w:val="333333"/>
          <w:lang w:val="en-US"/>
        </w:rPr>
        <w:t>“cocktail effect”</w:t>
      </w:r>
      <w:r w:rsidRPr="006C6737">
        <w:rPr>
          <w:rFonts w:ascii="Arial" w:eastAsia="Encode Sans" w:hAnsi="Arial" w:cs="Arial"/>
          <w:color w:val="333333"/>
          <w:lang w:val="en-US"/>
        </w:rPr>
        <w:t xml:space="preserve"> of multiple low-dose chemicals—remains poorly understood (</w:t>
      </w:r>
      <w:hyperlink r:id="rId14">
        <w:r w:rsidRPr="006C6737">
          <w:rPr>
            <w:rStyle w:val="Hipervnculo"/>
            <w:rFonts w:ascii="Arial" w:eastAsia="Encode Sans" w:hAnsi="Arial" w:cs="Arial"/>
            <w:color w:val="028287"/>
            <w:lang w:val="en-US"/>
          </w:rPr>
          <w:t>ECHA, 2022</w:t>
        </w:r>
      </w:hyperlink>
      <w:r w:rsidRPr="006C6737">
        <w:rPr>
          <w:rFonts w:ascii="Arial" w:eastAsia="Encode Sans" w:hAnsi="Arial" w:cs="Arial"/>
          <w:color w:val="333333"/>
          <w:lang w:val="en-US"/>
        </w:rPr>
        <w:t xml:space="preserve">). Furthermore, the </w:t>
      </w:r>
      <w:r w:rsidRPr="006C6737">
        <w:rPr>
          <w:rFonts w:ascii="Arial" w:eastAsia="Encode Sans" w:hAnsi="Arial" w:cs="Arial"/>
          <w:b/>
          <w:bCs/>
          <w:color w:val="333333"/>
          <w:lang w:val="en-US"/>
        </w:rPr>
        <w:t>European Food Safety Authority (EFSA)</w:t>
      </w:r>
      <w:r w:rsidRPr="006C6737">
        <w:rPr>
          <w:rFonts w:ascii="Arial" w:eastAsia="Encode Sans" w:hAnsi="Arial" w:cs="Arial"/>
          <w:color w:val="333333"/>
          <w:lang w:val="en-US"/>
        </w:rPr>
        <w:t xml:space="preserve"> recently </w:t>
      </w:r>
      <w:r w:rsidRPr="006C6737">
        <w:rPr>
          <w:rFonts w:ascii="Arial" w:eastAsia="Encode Sans" w:hAnsi="Arial" w:cs="Arial"/>
          <w:b/>
          <w:bCs/>
          <w:color w:val="333333"/>
          <w:lang w:val="en-US"/>
        </w:rPr>
        <w:t>re-evaluated BPA</w:t>
      </w:r>
      <w:r w:rsidRPr="006C6737">
        <w:rPr>
          <w:rFonts w:ascii="Arial" w:eastAsia="Encode Sans" w:hAnsi="Arial" w:cs="Arial"/>
          <w:color w:val="333333"/>
          <w:lang w:val="en-US"/>
        </w:rPr>
        <w:t xml:space="preserve"> and significantly </w:t>
      </w:r>
      <w:r w:rsidRPr="006C6737">
        <w:rPr>
          <w:rFonts w:ascii="Arial" w:eastAsia="Encode Sans" w:hAnsi="Arial" w:cs="Arial"/>
          <w:b/>
          <w:bCs/>
          <w:color w:val="333333"/>
          <w:lang w:val="en-US"/>
        </w:rPr>
        <w:t>lowered the tolerable daily intake (TDI)</w:t>
      </w:r>
      <w:r w:rsidRPr="006C6737">
        <w:rPr>
          <w:rFonts w:ascii="Arial" w:eastAsia="Encode Sans" w:hAnsi="Arial" w:cs="Arial"/>
          <w:color w:val="333333"/>
          <w:lang w:val="en-US"/>
        </w:rPr>
        <w:t xml:space="preserve"> by a factor of 20,000 due to emerging evidence on immune system effects (</w:t>
      </w:r>
      <w:hyperlink r:id="rId15">
        <w:r w:rsidRPr="006C6737">
          <w:rPr>
            <w:rStyle w:val="Hipervnculo"/>
            <w:rFonts w:ascii="Arial" w:eastAsia="Encode Sans" w:hAnsi="Arial" w:cs="Arial"/>
            <w:color w:val="028287"/>
            <w:lang w:val="en-US"/>
          </w:rPr>
          <w:t>EFSA, 2023</w:t>
        </w:r>
      </w:hyperlink>
      <w:r w:rsidRPr="006C6737">
        <w:rPr>
          <w:rFonts w:ascii="Arial" w:eastAsia="Encode Sans" w:hAnsi="Arial" w:cs="Arial"/>
          <w:color w:val="333333"/>
          <w:lang w:val="en-US"/>
        </w:rPr>
        <w:t xml:space="preserve">). </w:t>
      </w:r>
    </w:p>
    <w:p w14:paraId="5F941477" w14:textId="173508B1"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eastAsia="Encode Sans" w:hAnsi="Arial" w:cs="Arial"/>
          <w:color w:val="333333"/>
          <w:lang w:val="en-US"/>
        </w:rPr>
        <w:t xml:space="preserve">These developments illustrate a broader issue: </w:t>
      </w:r>
      <w:r w:rsidRPr="006C6737">
        <w:rPr>
          <w:rFonts w:ascii="Arial" w:eastAsia="Encode Sans" w:hAnsi="Arial" w:cs="Arial"/>
          <w:b/>
          <w:bCs/>
          <w:color w:val="333333"/>
          <w:lang w:val="en-US"/>
        </w:rPr>
        <w:t>EU safety thresholds often lag behind scientific advances</w:t>
      </w:r>
      <w:r w:rsidRPr="006C6737">
        <w:rPr>
          <w:rFonts w:ascii="Arial" w:eastAsia="Encode Sans" w:hAnsi="Arial" w:cs="Arial"/>
          <w:color w:val="333333"/>
          <w:lang w:val="en-US"/>
        </w:rPr>
        <w:t xml:space="preserve">, and the current system still allows substances of concern under the assumption that “low exposure” equals “low risk.” 1234 In practice, consumers are exposed to dozens—if not hundreds—of plastic-associated chemicals daily. </w:t>
      </w:r>
      <w:proofErr w:type="gramStart"/>
      <w:r w:rsidRPr="006C6737">
        <w:rPr>
          <w:rFonts w:ascii="Arial" w:eastAsia="Encode Sans" w:hAnsi="Arial" w:cs="Arial"/>
          <w:color w:val="333333"/>
          <w:lang w:val="en-US"/>
        </w:rPr>
        <w:t>So</w:t>
      </w:r>
      <w:proofErr w:type="gramEnd"/>
      <w:r w:rsidRPr="006C6737">
        <w:rPr>
          <w:rFonts w:ascii="Arial" w:eastAsia="Encode Sans" w:hAnsi="Arial" w:cs="Arial"/>
          <w:color w:val="333333"/>
          <w:lang w:val="en-US"/>
        </w:rPr>
        <w:t xml:space="preserve"> while plastics in the EU are </w:t>
      </w:r>
      <w:r w:rsidRPr="006C6737">
        <w:rPr>
          <w:rFonts w:ascii="Arial" w:eastAsia="Encode Sans" w:hAnsi="Arial" w:cs="Arial"/>
          <w:b/>
          <w:bCs/>
          <w:color w:val="333333"/>
          <w:lang w:val="en-US"/>
        </w:rPr>
        <w:t>safer by design</w:t>
      </w:r>
      <w:r w:rsidRPr="006C6737">
        <w:rPr>
          <w:rFonts w:ascii="Arial" w:eastAsia="Encode Sans" w:hAnsi="Arial" w:cs="Arial"/>
          <w:color w:val="333333"/>
          <w:lang w:val="en-US"/>
        </w:rPr>
        <w:t xml:space="preserve">, they remain </w:t>
      </w:r>
      <w:r w:rsidRPr="006C6737">
        <w:rPr>
          <w:rFonts w:ascii="Arial" w:eastAsia="Encode Sans" w:hAnsi="Arial" w:cs="Arial"/>
          <w:b/>
          <w:bCs/>
          <w:color w:val="333333"/>
          <w:lang w:val="en-US"/>
        </w:rPr>
        <w:t>a work in progress</w:t>
      </w:r>
      <w:r w:rsidRPr="006C6737">
        <w:rPr>
          <w:rFonts w:ascii="Arial" w:eastAsia="Encode Sans" w:hAnsi="Arial" w:cs="Arial"/>
          <w:color w:val="333333"/>
          <w:lang w:val="en-US"/>
        </w:rPr>
        <w:t xml:space="preserve"> when it comes to long-term health protection. </w:t>
      </w:r>
    </w:p>
    <w:p w14:paraId="2BB31BF9" w14:textId="0FE35B12"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eastAsia="Encode Sans" w:hAnsi="Arial" w:cs="Arial"/>
          <w:color w:val="333333"/>
          <w:lang w:val="en-US"/>
        </w:rPr>
        <w:t xml:space="preserve"> </w:t>
      </w:r>
    </w:p>
    <w:p w14:paraId="0ACC31FD" w14:textId="5026DC31" w:rsidR="004B591E" w:rsidRPr="006C6737" w:rsidRDefault="4A4A4666" w:rsidP="0CEC8DBF">
      <w:pPr>
        <w:pStyle w:val="Ttulo3"/>
        <w:shd w:val="clear" w:color="auto" w:fill="FFFFFF" w:themeFill="background1"/>
        <w:spacing w:before="0" w:after="150" w:line="276" w:lineRule="auto"/>
        <w:jc w:val="both"/>
        <w:rPr>
          <w:rFonts w:ascii="Arial" w:hAnsi="Arial" w:cs="Arial"/>
        </w:rPr>
      </w:pPr>
      <w:r w:rsidRPr="006C6737">
        <w:rPr>
          <w:rFonts w:ascii="Arial" w:eastAsia="Helvetica" w:hAnsi="Arial" w:cs="Arial"/>
          <w:b/>
          <w:bCs/>
          <w:caps/>
          <w:color w:val="0A4149"/>
          <w:lang w:val="en-US"/>
        </w:rPr>
        <w:t xml:space="preserve">The Uncomfortable Truth: Safety ≠ Harmless </w:t>
      </w:r>
    </w:p>
    <w:p w14:paraId="3CA87DC5" w14:textId="666D234B"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eastAsia="Encode Sans" w:hAnsi="Arial" w:cs="Arial"/>
          <w:color w:val="333333"/>
          <w:lang w:val="en-US"/>
        </w:rPr>
        <w:t xml:space="preserve">Many plastics contain </w:t>
      </w:r>
      <w:r w:rsidRPr="006C6737">
        <w:rPr>
          <w:rFonts w:ascii="Arial" w:eastAsia="Encode Sans" w:hAnsi="Arial" w:cs="Arial"/>
          <w:b/>
          <w:bCs/>
          <w:color w:val="333333"/>
          <w:lang w:val="en-US"/>
        </w:rPr>
        <w:t>additives</w:t>
      </w:r>
      <w:r w:rsidRPr="006C6737">
        <w:rPr>
          <w:rFonts w:ascii="Arial" w:eastAsia="Encode Sans" w:hAnsi="Arial" w:cs="Arial"/>
          <w:color w:val="333333"/>
          <w:lang w:val="en-US"/>
        </w:rPr>
        <w:t xml:space="preserve">—plasticizers, stabilizers, flame retardants—that help with flexibility, durability, or color. Some of these substances (like </w:t>
      </w:r>
      <w:r w:rsidRPr="006C6737">
        <w:rPr>
          <w:rFonts w:ascii="Arial" w:eastAsia="Encode Sans" w:hAnsi="Arial" w:cs="Arial"/>
          <w:b/>
          <w:bCs/>
          <w:color w:val="333333"/>
          <w:lang w:val="en-US"/>
        </w:rPr>
        <w:t>phthalates</w:t>
      </w:r>
      <w:r w:rsidRPr="006C6737">
        <w:rPr>
          <w:rFonts w:ascii="Arial" w:eastAsia="Encode Sans" w:hAnsi="Arial" w:cs="Arial"/>
          <w:color w:val="333333"/>
          <w:lang w:val="en-US"/>
        </w:rPr>
        <w:t xml:space="preserve"> and </w:t>
      </w:r>
      <w:r w:rsidRPr="006C6737">
        <w:rPr>
          <w:rFonts w:ascii="Arial" w:eastAsia="Encode Sans" w:hAnsi="Arial" w:cs="Arial"/>
          <w:b/>
          <w:bCs/>
          <w:color w:val="333333"/>
          <w:lang w:val="en-US"/>
        </w:rPr>
        <w:t>bisphenols</w:t>
      </w:r>
      <w:r w:rsidRPr="006C6737">
        <w:rPr>
          <w:rFonts w:ascii="Arial" w:eastAsia="Encode Sans" w:hAnsi="Arial" w:cs="Arial"/>
          <w:color w:val="333333"/>
          <w:lang w:val="en-US"/>
        </w:rPr>
        <w:t xml:space="preserve">) have been linked to hormonal disruption, developmental issues, and even cancer. While some are restricted, many remain in circulation under the label “safe within limits.” </w:t>
      </w:r>
    </w:p>
    <w:p w14:paraId="2FA57460" w14:textId="24E95B4B" w:rsidR="004B591E" w:rsidRPr="006C6737" w:rsidRDefault="4A4A4666" w:rsidP="0CEC8DBF">
      <w:pPr>
        <w:shd w:val="clear" w:color="auto" w:fill="FFFFFF" w:themeFill="background1"/>
        <w:spacing w:after="150" w:line="276" w:lineRule="auto"/>
        <w:jc w:val="both"/>
        <w:rPr>
          <w:rFonts w:ascii="Arial" w:eastAsia="Encode Sans" w:hAnsi="Arial" w:cs="Arial"/>
          <w:color w:val="333333"/>
          <w:lang w:val="en-US"/>
        </w:rPr>
      </w:pPr>
      <w:r w:rsidRPr="006C6737">
        <w:rPr>
          <w:rFonts w:ascii="Arial" w:eastAsia="Encode Sans" w:hAnsi="Arial" w:cs="Arial"/>
          <w:color w:val="333333"/>
          <w:lang w:val="en-US"/>
        </w:rPr>
        <w:t xml:space="preserve">But “safe” for whom? For how long?  </w:t>
      </w:r>
    </w:p>
    <w:p w14:paraId="3FCD38B4" w14:textId="4783971F"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eastAsia="Encode Sans" w:hAnsi="Arial" w:cs="Arial"/>
          <w:color w:val="333333"/>
          <w:lang w:val="en-US"/>
        </w:rPr>
        <w:t xml:space="preserve">Even “BPA-free” plastics—marketed as healthier alternatives—often contain </w:t>
      </w:r>
      <w:r w:rsidRPr="006C6737">
        <w:rPr>
          <w:rFonts w:ascii="Arial" w:eastAsia="Encode Sans" w:hAnsi="Arial" w:cs="Arial"/>
          <w:b/>
          <w:bCs/>
          <w:color w:val="333333"/>
          <w:lang w:val="en-US"/>
        </w:rPr>
        <w:t>BPS</w:t>
      </w:r>
      <w:r w:rsidRPr="006C6737">
        <w:rPr>
          <w:rFonts w:ascii="Arial" w:eastAsia="Encode Sans" w:hAnsi="Arial" w:cs="Arial"/>
          <w:color w:val="333333"/>
          <w:lang w:val="en-US"/>
        </w:rPr>
        <w:t xml:space="preserve"> or </w:t>
      </w:r>
      <w:r w:rsidRPr="006C6737">
        <w:rPr>
          <w:rFonts w:ascii="Arial" w:eastAsia="Encode Sans" w:hAnsi="Arial" w:cs="Arial"/>
          <w:b/>
          <w:bCs/>
          <w:color w:val="333333"/>
          <w:lang w:val="en-US"/>
        </w:rPr>
        <w:t>BPF</w:t>
      </w:r>
      <w:r w:rsidRPr="006C6737">
        <w:rPr>
          <w:rFonts w:ascii="Arial" w:eastAsia="Encode Sans" w:hAnsi="Arial" w:cs="Arial"/>
          <w:color w:val="333333"/>
          <w:lang w:val="en-US"/>
        </w:rPr>
        <w:t xml:space="preserve">, similar compounds with similar risks but fewer regulations. </w:t>
      </w:r>
    </w:p>
    <w:p w14:paraId="07111D2A" w14:textId="25E23628"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eastAsia="Encode Sans" w:hAnsi="Arial" w:cs="Arial"/>
          <w:color w:val="333333"/>
          <w:lang w:val="en-US"/>
        </w:rPr>
        <w:t xml:space="preserve">Meanwhile, </w:t>
      </w:r>
      <w:r w:rsidRPr="006C6737">
        <w:rPr>
          <w:rFonts w:ascii="Arial" w:eastAsia="Encode Sans" w:hAnsi="Arial" w:cs="Arial"/>
          <w:b/>
          <w:bCs/>
          <w:color w:val="333333"/>
          <w:lang w:val="en-US"/>
        </w:rPr>
        <w:t>microplastics</w:t>
      </w:r>
      <w:r w:rsidRPr="006C6737">
        <w:rPr>
          <w:rFonts w:ascii="Arial" w:eastAsia="Encode Sans" w:hAnsi="Arial" w:cs="Arial"/>
          <w:color w:val="333333"/>
          <w:lang w:val="en-US"/>
        </w:rPr>
        <w:t xml:space="preserve">—tiny fragments of degraded plastic—are now found in drinking water, seafood, table salt, and even human blood. The long-term health impacts? Still largely unknown. </w:t>
      </w:r>
    </w:p>
    <w:p w14:paraId="2D172FCB" w14:textId="58C42609" w:rsidR="004B591E" w:rsidRPr="006C6737" w:rsidRDefault="4A4A4666" w:rsidP="0CEC8DBF">
      <w:pPr>
        <w:spacing w:after="150" w:line="276" w:lineRule="auto"/>
        <w:jc w:val="both"/>
        <w:rPr>
          <w:rFonts w:ascii="Arial" w:hAnsi="Arial" w:cs="Arial"/>
        </w:rPr>
      </w:pPr>
      <w:r w:rsidRPr="006C6737">
        <w:rPr>
          <w:rFonts w:ascii="Arial" w:eastAsia="Helvetica" w:hAnsi="Arial" w:cs="Arial"/>
          <w:b/>
          <w:bCs/>
          <w:caps/>
          <w:color w:val="0A4149"/>
          <w:lang w:val="en-US"/>
        </w:rPr>
        <w:t xml:space="preserve">Do you want to know more? Take a look to our review on microplastic impacts here:  </w:t>
      </w:r>
      <w:hyperlink r:id="rId16">
        <w:r w:rsidRPr="006C6737">
          <w:rPr>
            <w:rStyle w:val="Hipervnculo"/>
            <w:rFonts w:ascii="Arial" w:eastAsia="Helvetica" w:hAnsi="Arial" w:cs="Arial"/>
            <w:b/>
            <w:bCs/>
            <w:i/>
            <w:iCs/>
            <w:caps/>
            <w:color w:val="0A4149"/>
            <w:lang w:val="en-US"/>
          </w:rPr>
          <w:t>Plastic Pollution in Food Packaging Systems: Impact on Human Health, Socioeconomic Considerations, and the Regulatory Framework</w:t>
        </w:r>
      </w:hyperlink>
      <w:r w:rsidRPr="006C6737">
        <w:rPr>
          <w:rFonts w:ascii="Arial" w:eastAsia="Helvetica" w:hAnsi="Arial" w:cs="Arial"/>
          <w:b/>
          <w:bCs/>
          <w:i/>
          <w:iCs/>
          <w:caps/>
          <w:color w:val="0A4149"/>
          <w:lang w:val="en-US"/>
        </w:rPr>
        <w:t>.</w:t>
      </w:r>
      <w:r w:rsidRPr="006C6737">
        <w:rPr>
          <w:rFonts w:ascii="Arial" w:eastAsia="Helvetica" w:hAnsi="Arial" w:cs="Arial"/>
          <w:b/>
          <w:bCs/>
          <w:caps/>
          <w:color w:val="0A4149"/>
          <w:lang w:val="en-US"/>
        </w:rPr>
        <w:t xml:space="preserve">   </w:t>
      </w:r>
    </w:p>
    <w:p w14:paraId="742F9FAF" w14:textId="0BCB51C7"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eastAsia="Encode Sans" w:hAnsi="Arial" w:cs="Arial"/>
          <w:color w:val="333333"/>
          <w:lang w:val="en-US"/>
        </w:rPr>
        <w:t xml:space="preserve">In short, </w:t>
      </w:r>
      <w:proofErr w:type="gramStart"/>
      <w:r w:rsidRPr="006C6737">
        <w:rPr>
          <w:rFonts w:ascii="Arial" w:eastAsia="Encode Sans" w:hAnsi="Arial" w:cs="Arial"/>
          <w:color w:val="333333"/>
          <w:lang w:val="en-US"/>
        </w:rPr>
        <w:t>the science</w:t>
      </w:r>
      <w:proofErr w:type="gramEnd"/>
      <w:r w:rsidRPr="006C6737">
        <w:rPr>
          <w:rFonts w:ascii="Arial" w:eastAsia="Encode Sans" w:hAnsi="Arial" w:cs="Arial"/>
          <w:color w:val="333333"/>
          <w:lang w:val="en-US"/>
        </w:rPr>
        <w:t xml:space="preserve"> is evolving faster than </w:t>
      </w:r>
      <w:proofErr w:type="gramStart"/>
      <w:r w:rsidRPr="006C6737">
        <w:rPr>
          <w:rFonts w:ascii="Arial" w:eastAsia="Encode Sans" w:hAnsi="Arial" w:cs="Arial"/>
          <w:color w:val="333333"/>
          <w:lang w:val="en-US"/>
        </w:rPr>
        <w:t>the regulation</w:t>
      </w:r>
      <w:proofErr w:type="gramEnd"/>
      <w:r w:rsidRPr="006C6737">
        <w:rPr>
          <w:rFonts w:ascii="Arial" w:eastAsia="Encode Sans" w:hAnsi="Arial" w:cs="Arial"/>
          <w:color w:val="333333"/>
          <w:lang w:val="en-US"/>
        </w:rPr>
        <w:t xml:space="preserve">. That is why, at </w:t>
      </w:r>
      <w:r w:rsidRPr="006C6737">
        <w:rPr>
          <w:rFonts w:ascii="Arial" w:eastAsia="Encode Sans" w:hAnsi="Arial" w:cs="Arial"/>
          <w:b/>
          <w:bCs/>
          <w:color w:val="333333"/>
          <w:lang w:val="en-US"/>
        </w:rPr>
        <w:t>Magno</w:t>
      </w:r>
      <w:r w:rsidRPr="006C6737">
        <w:rPr>
          <w:rFonts w:ascii="Arial" w:eastAsia="Encode Sans" w:hAnsi="Arial" w:cs="Arial"/>
          <w:color w:val="333333"/>
          <w:lang w:val="en-US"/>
        </w:rPr>
        <w:t xml:space="preserve">, we believe that science isn’t just a compliance </w:t>
      </w:r>
      <w:proofErr w:type="gramStart"/>
      <w:r w:rsidRPr="006C6737">
        <w:rPr>
          <w:rFonts w:ascii="Arial" w:eastAsia="Encode Sans" w:hAnsi="Arial" w:cs="Arial"/>
          <w:color w:val="333333"/>
          <w:lang w:val="en-US"/>
        </w:rPr>
        <w:t>tool—</w:t>
      </w:r>
      <w:proofErr w:type="gramEnd"/>
      <w:r w:rsidRPr="006C6737">
        <w:rPr>
          <w:rFonts w:ascii="Arial" w:eastAsia="Encode Sans" w:hAnsi="Arial" w:cs="Arial"/>
          <w:color w:val="333333"/>
          <w:lang w:val="en-US"/>
        </w:rPr>
        <w:t xml:space="preserve">it’s a catalyst for transformation. In a rapidly evolving regulatory and environmental landscape, we make a deliberate effort to </w:t>
      </w:r>
      <w:r w:rsidRPr="006C6737">
        <w:rPr>
          <w:rFonts w:ascii="Arial" w:eastAsia="Encode Sans" w:hAnsi="Arial" w:cs="Arial"/>
          <w:b/>
          <w:bCs/>
          <w:color w:val="333333"/>
          <w:lang w:val="en-US"/>
        </w:rPr>
        <w:t>align business models with emerging scientific insights</w:t>
      </w:r>
      <w:r w:rsidRPr="006C6737">
        <w:rPr>
          <w:rFonts w:ascii="Arial" w:eastAsia="Encode Sans" w:hAnsi="Arial" w:cs="Arial"/>
          <w:color w:val="333333"/>
          <w:lang w:val="en-US"/>
        </w:rPr>
        <w:t xml:space="preserve"> on materials safety, circularity, and consumer health. This means going beyond what is legally required to anticipate future standards, reduce systemic risks, and build consumer trust. Whether it’s evaluating the toxicological profile of plastic alternatives or integrating lifecycle thinking into product design, Magno treats scientific research as a strategic lever—not an afterthought. Because in today’s market, doing the minimum is not just short-sighted—it’s bad business. </w:t>
      </w:r>
    </w:p>
    <w:p w14:paraId="61021F30" w14:textId="0B29A21A"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eastAsia="Encode Sans" w:hAnsi="Arial" w:cs="Arial"/>
          <w:color w:val="333333"/>
          <w:lang w:val="en-US"/>
        </w:rPr>
        <w:t xml:space="preserve"> </w:t>
      </w:r>
    </w:p>
    <w:p w14:paraId="59688E16" w14:textId="093CB9FD"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hAnsi="Arial" w:cs="Arial"/>
          <w:noProof/>
        </w:rPr>
        <w:lastRenderedPageBreak/>
        <w:drawing>
          <wp:inline distT="0" distB="0" distL="0" distR="0" wp14:anchorId="0365429C" wp14:editId="1732EBC0">
            <wp:extent cx="5000625" cy="3333750"/>
            <wp:effectExtent l="0" t="0" r="0" b="0"/>
            <wp:docPr id="1638115681" name="drawing" title="Food in Cans and Plastic Bags · Free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115681" name="Picture 1638115681"/>
                    <pic:cNvPicPr/>
                  </pic:nvPicPr>
                  <pic:blipFill>
                    <a:blip r:embed="rId17">
                      <a:extLst>
                        <a:ext uri="{28A0092B-C50C-407E-A947-70E740481C1C}">
                          <a14:useLocalDpi xmlns:a14="http://schemas.microsoft.com/office/drawing/2010/main"/>
                        </a:ext>
                      </a:extLst>
                    </a:blip>
                    <a:stretch>
                      <a:fillRect/>
                    </a:stretch>
                  </pic:blipFill>
                  <pic:spPr>
                    <a:xfrm>
                      <a:off x="0" y="0"/>
                      <a:ext cx="5000625" cy="3333750"/>
                    </a:xfrm>
                    <a:prstGeom prst="rect">
                      <a:avLst/>
                    </a:prstGeom>
                  </pic:spPr>
                </pic:pic>
              </a:graphicData>
            </a:graphic>
          </wp:inline>
        </w:drawing>
      </w:r>
    </w:p>
    <w:p w14:paraId="13BF59DE" w14:textId="7E0944EC" w:rsidR="004B591E" w:rsidRPr="006C6737" w:rsidRDefault="4A4A4666" w:rsidP="0CEC8DBF">
      <w:pPr>
        <w:shd w:val="clear" w:color="auto" w:fill="FFFFFF" w:themeFill="background1"/>
        <w:spacing w:after="150" w:line="276" w:lineRule="auto"/>
        <w:jc w:val="both"/>
        <w:rPr>
          <w:rFonts w:ascii="Arial" w:hAnsi="Arial" w:cs="Arial"/>
          <w:sz w:val="20"/>
          <w:szCs w:val="20"/>
        </w:rPr>
      </w:pPr>
      <w:r w:rsidRPr="006C6737">
        <w:rPr>
          <w:rFonts w:ascii="Arial" w:eastAsia="Encode Sans" w:hAnsi="Arial" w:cs="Arial"/>
          <w:i/>
          <w:iCs/>
          <w:color w:val="333333"/>
          <w:sz w:val="20"/>
          <w:szCs w:val="20"/>
          <w:lang w:val="en-US"/>
        </w:rPr>
        <w:t>Photo by</w:t>
      </w:r>
      <w:r w:rsidRPr="006C6737">
        <w:rPr>
          <w:rFonts w:ascii="Arial" w:eastAsia="Encode Sans" w:hAnsi="Arial" w:cs="Arial"/>
          <w:color w:val="333333"/>
          <w:sz w:val="20"/>
          <w:szCs w:val="20"/>
          <w:lang w:val="en-US"/>
        </w:rPr>
        <w:t xml:space="preserve"> </w:t>
      </w:r>
      <w:r w:rsidRPr="006C6737">
        <w:rPr>
          <w:rFonts w:ascii="Arial" w:eastAsia="Encode Sans" w:hAnsi="Arial" w:cs="Arial"/>
          <w:i/>
          <w:iCs/>
          <w:color w:val="333333"/>
          <w:sz w:val="20"/>
          <w:szCs w:val="20"/>
          <w:lang w:val="en-US"/>
        </w:rPr>
        <w:t>Julia M Cameron (Pexels), licensed under CC0</w:t>
      </w:r>
    </w:p>
    <w:p w14:paraId="773A7DF4" w14:textId="7A2986DE"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eastAsia="Encode Sans" w:hAnsi="Arial" w:cs="Arial"/>
          <w:color w:val="333333"/>
          <w:lang w:val="en-US"/>
        </w:rPr>
        <w:t xml:space="preserve"> </w:t>
      </w:r>
    </w:p>
    <w:p w14:paraId="6D41A2EB" w14:textId="66C9E279" w:rsidR="004B591E" w:rsidRPr="006C6737" w:rsidRDefault="4A4A4666" w:rsidP="0CEC8DBF">
      <w:pPr>
        <w:pStyle w:val="Ttulo3"/>
        <w:shd w:val="clear" w:color="auto" w:fill="FFFFFF" w:themeFill="background1"/>
        <w:spacing w:before="0" w:after="150" w:line="276" w:lineRule="auto"/>
        <w:jc w:val="both"/>
        <w:rPr>
          <w:rFonts w:ascii="Arial" w:hAnsi="Arial" w:cs="Arial"/>
        </w:rPr>
      </w:pPr>
      <w:r w:rsidRPr="006C6737">
        <w:rPr>
          <w:rFonts w:ascii="Arial" w:eastAsia="Helvetica" w:hAnsi="Arial" w:cs="Arial"/>
          <w:b/>
          <w:bCs/>
          <w:caps/>
          <w:color w:val="0A4149"/>
          <w:lang w:val="en-US"/>
        </w:rPr>
        <w:t xml:space="preserve">Consumer Rights: What You Deserve  </w:t>
      </w:r>
    </w:p>
    <w:p w14:paraId="1E5A6A61" w14:textId="597E9F74"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eastAsia="Encode Sans" w:hAnsi="Arial" w:cs="Arial"/>
          <w:color w:val="333333"/>
          <w:lang w:val="en-US"/>
        </w:rPr>
        <w:t xml:space="preserve">Under EU law, you have the </w:t>
      </w:r>
      <w:hyperlink r:id="rId18">
        <w:r w:rsidRPr="006C6737">
          <w:rPr>
            <w:rStyle w:val="Hipervnculo"/>
            <w:rFonts w:ascii="Arial" w:eastAsia="Encode Sans" w:hAnsi="Arial" w:cs="Arial"/>
            <w:b/>
            <w:bCs/>
            <w:color w:val="028287"/>
            <w:lang w:val="en-US"/>
          </w:rPr>
          <w:t>right to safety</w:t>
        </w:r>
        <w:r w:rsidRPr="006C6737">
          <w:rPr>
            <w:rStyle w:val="Hipervnculo"/>
            <w:rFonts w:ascii="Arial" w:eastAsia="Encode Sans" w:hAnsi="Arial" w:cs="Arial"/>
            <w:color w:val="028287"/>
            <w:lang w:val="en-US"/>
          </w:rPr>
          <w:t xml:space="preserve">, the </w:t>
        </w:r>
        <w:r w:rsidRPr="006C6737">
          <w:rPr>
            <w:rStyle w:val="Hipervnculo"/>
            <w:rFonts w:ascii="Arial" w:eastAsia="Encode Sans" w:hAnsi="Arial" w:cs="Arial"/>
            <w:b/>
            <w:bCs/>
            <w:color w:val="028287"/>
            <w:lang w:val="en-US"/>
          </w:rPr>
          <w:t>right to information</w:t>
        </w:r>
        <w:r w:rsidRPr="006C6737">
          <w:rPr>
            <w:rStyle w:val="Hipervnculo"/>
            <w:rFonts w:ascii="Arial" w:eastAsia="Encode Sans" w:hAnsi="Arial" w:cs="Arial"/>
            <w:color w:val="028287"/>
            <w:lang w:val="en-US"/>
          </w:rPr>
          <w:t xml:space="preserve">, and the </w:t>
        </w:r>
        <w:r w:rsidRPr="006C6737">
          <w:rPr>
            <w:rStyle w:val="Hipervnculo"/>
            <w:rFonts w:ascii="Arial" w:eastAsia="Encode Sans" w:hAnsi="Arial" w:cs="Arial"/>
            <w:b/>
            <w:bCs/>
            <w:color w:val="028287"/>
            <w:lang w:val="en-US"/>
          </w:rPr>
          <w:t>right to redress</w:t>
        </w:r>
      </w:hyperlink>
      <w:r w:rsidRPr="006C6737">
        <w:rPr>
          <w:rFonts w:ascii="Arial" w:eastAsia="Encode Sans" w:hAnsi="Arial" w:cs="Arial"/>
          <w:color w:val="333333"/>
          <w:lang w:val="en-US"/>
        </w:rPr>
        <w:t xml:space="preserve">. But when it comes to plastics: </w:t>
      </w:r>
    </w:p>
    <w:p w14:paraId="20E77163" w14:textId="70D07DDA" w:rsidR="004B591E" w:rsidRPr="006C6737" w:rsidRDefault="4A4A4666" w:rsidP="0CEC8DBF">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lang w:val="en-US"/>
        </w:rPr>
      </w:pPr>
      <w:r w:rsidRPr="006C6737">
        <w:rPr>
          <w:rFonts w:ascii="Arial" w:eastAsia="Encode Sans" w:hAnsi="Arial" w:cs="Arial"/>
          <w:b/>
          <w:bCs/>
          <w:color w:val="333333"/>
          <w:lang w:val="en-US"/>
        </w:rPr>
        <w:t>Labels are vague</w:t>
      </w:r>
      <w:r w:rsidRPr="006C6737">
        <w:rPr>
          <w:rFonts w:ascii="Arial" w:eastAsia="Encode Sans" w:hAnsi="Arial" w:cs="Arial"/>
          <w:color w:val="333333"/>
          <w:lang w:val="en-US"/>
        </w:rPr>
        <w:t xml:space="preserve">: Ever seen “do not microwave” or “food safe” with no further explanation? That’s legal. But is it clear? </w:t>
      </w:r>
    </w:p>
    <w:p w14:paraId="37DF354D" w14:textId="69AC3903" w:rsidR="004B591E" w:rsidRPr="006C6737" w:rsidRDefault="4A4A4666" w:rsidP="0CEC8DBF">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lang w:val="en-US"/>
        </w:rPr>
      </w:pPr>
      <w:r w:rsidRPr="006C6737">
        <w:rPr>
          <w:rFonts w:ascii="Arial" w:eastAsia="Encode Sans" w:hAnsi="Arial" w:cs="Arial"/>
          <w:b/>
          <w:bCs/>
          <w:color w:val="333333"/>
          <w:lang w:val="en-US"/>
        </w:rPr>
        <w:t>Information is limited</w:t>
      </w:r>
      <w:r w:rsidRPr="006C6737">
        <w:rPr>
          <w:rFonts w:ascii="Arial" w:eastAsia="Encode Sans" w:hAnsi="Arial" w:cs="Arial"/>
          <w:color w:val="333333"/>
          <w:lang w:val="en-US"/>
        </w:rPr>
        <w:t xml:space="preserve">: Most consumers have no way of knowing which additives or chemical residues are in their products—because producers aren’t required to disclose them to the public. </w:t>
      </w:r>
    </w:p>
    <w:p w14:paraId="352D8476" w14:textId="429D8396" w:rsidR="004B591E" w:rsidRPr="006C6737" w:rsidRDefault="4A4A4666" w:rsidP="0CEC8DBF">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lang w:val="en-US"/>
        </w:rPr>
      </w:pPr>
      <w:r w:rsidRPr="006C6737">
        <w:rPr>
          <w:rFonts w:ascii="Arial" w:eastAsia="Encode Sans" w:hAnsi="Arial" w:cs="Arial"/>
          <w:b/>
          <w:bCs/>
          <w:color w:val="333333"/>
          <w:lang w:val="en-US"/>
        </w:rPr>
        <w:t>Accountability is slippery</w:t>
      </w:r>
      <w:r w:rsidRPr="006C6737">
        <w:rPr>
          <w:rFonts w:ascii="Arial" w:eastAsia="Encode Sans" w:hAnsi="Arial" w:cs="Arial"/>
          <w:color w:val="333333"/>
          <w:lang w:val="en-US"/>
        </w:rPr>
        <w:t xml:space="preserve">: If a plastic product harms your health over time, proving it—let alone winning a case—is a legal uphill battle. </w:t>
      </w:r>
    </w:p>
    <w:p w14:paraId="691A9532" w14:textId="389F331F"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eastAsia="Encode Sans" w:hAnsi="Arial" w:cs="Arial"/>
          <w:color w:val="333333"/>
          <w:lang w:val="en-US"/>
        </w:rPr>
        <w:t xml:space="preserve">Consumers are asked to trust in “safety standards” that are often opaque, incomplete, or reliant on outdated science. Meanwhile, the burden of precaution is placed squarely on the individual. </w:t>
      </w:r>
    </w:p>
    <w:p w14:paraId="0A21C966" w14:textId="484BE3B5"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eastAsia="Encode Sans" w:hAnsi="Arial" w:cs="Arial"/>
          <w:color w:val="333333"/>
          <w:lang w:val="en-US"/>
        </w:rPr>
        <w:t xml:space="preserve">If the EU wants to continue as a global leader in consumer protection, it must go beyond technical compliance and start treating plastic safety as a </w:t>
      </w:r>
      <w:r w:rsidRPr="006C6737">
        <w:rPr>
          <w:rFonts w:ascii="Arial" w:eastAsia="Encode Sans" w:hAnsi="Arial" w:cs="Arial"/>
          <w:b/>
          <w:bCs/>
          <w:color w:val="333333"/>
          <w:lang w:val="en-US"/>
        </w:rPr>
        <w:t>public health issue</w:t>
      </w:r>
      <w:r w:rsidRPr="006C6737">
        <w:rPr>
          <w:rFonts w:ascii="Arial" w:eastAsia="Encode Sans" w:hAnsi="Arial" w:cs="Arial"/>
          <w:color w:val="333333"/>
          <w:lang w:val="en-US"/>
        </w:rPr>
        <w:t xml:space="preserve">, not just a chemical one. </w:t>
      </w:r>
    </w:p>
    <w:p w14:paraId="183C3587" w14:textId="7C47A2D7"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eastAsia="Encode Sans" w:hAnsi="Arial" w:cs="Arial"/>
          <w:b/>
          <w:bCs/>
          <w:color w:val="333333"/>
          <w:lang w:val="en-US"/>
        </w:rPr>
        <w:t xml:space="preserve">What can be done? </w:t>
      </w:r>
    </w:p>
    <w:p w14:paraId="33901FF1" w14:textId="26652BB3" w:rsidR="004B591E" w:rsidRPr="006C6737" w:rsidRDefault="4A4A4666" w:rsidP="0CEC8DBF">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US"/>
        </w:rPr>
      </w:pPr>
      <w:r w:rsidRPr="006C6737">
        <w:rPr>
          <w:rFonts w:ascii="Arial" w:eastAsia="Encode Sans" w:hAnsi="Arial" w:cs="Arial"/>
          <w:b/>
          <w:bCs/>
          <w:color w:val="333333"/>
          <w:lang w:val="en-US"/>
        </w:rPr>
        <w:t>Stronger labelling requirements</w:t>
      </w:r>
      <w:r w:rsidRPr="006C6737">
        <w:rPr>
          <w:rFonts w:ascii="Arial" w:eastAsia="Encode Sans" w:hAnsi="Arial" w:cs="Arial"/>
          <w:color w:val="333333"/>
          <w:lang w:val="en-US"/>
        </w:rPr>
        <w:t xml:space="preserve">: Full disclosure of chemical additives and risks—especially for food contact, baby products, and cosmetics. </w:t>
      </w:r>
    </w:p>
    <w:p w14:paraId="3C69272A" w14:textId="777D2FD0" w:rsidR="004B591E" w:rsidRPr="006C6737" w:rsidRDefault="4A4A4666" w:rsidP="0CEC8DBF">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US"/>
        </w:rPr>
      </w:pPr>
      <w:r w:rsidRPr="006C6737">
        <w:rPr>
          <w:rFonts w:ascii="Arial" w:eastAsia="Encode Sans" w:hAnsi="Arial" w:cs="Arial"/>
          <w:b/>
          <w:bCs/>
          <w:color w:val="333333"/>
          <w:lang w:val="en-US"/>
        </w:rPr>
        <w:t>Precautionary bans</w:t>
      </w:r>
      <w:r w:rsidRPr="006C6737">
        <w:rPr>
          <w:rFonts w:ascii="Arial" w:eastAsia="Encode Sans" w:hAnsi="Arial" w:cs="Arial"/>
          <w:color w:val="333333"/>
          <w:lang w:val="en-US"/>
        </w:rPr>
        <w:t xml:space="preserve">: Not just for proven toxic substances, but for those suspected of serious </w:t>
      </w:r>
      <w:proofErr w:type="gramStart"/>
      <w:r w:rsidRPr="006C6737">
        <w:rPr>
          <w:rFonts w:ascii="Arial" w:eastAsia="Encode Sans" w:hAnsi="Arial" w:cs="Arial"/>
          <w:color w:val="333333"/>
          <w:lang w:val="en-US"/>
        </w:rPr>
        <w:t>harm—</w:t>
      </w:r>
      <w:proofErr w:type="gramEnd"/>
      <w:r w:rsidRPr="006C6737">
        <w:rPr>
          <w:rFonts w:ascii="Arial" w:eastAsia="Encode Sans" w:hAnsi="Arial" w:cs="Arial"/>
          <w:color w:val="333333"/>
          <w:lang w:val="en-US"/>
        </w:rPr>
        <w:t xml:space="preserve">especially endocrine disruptors. </w:t>
      </w:r>
    </w:p>
    <w:p w14:paraId="1614F658" w14:textId="6CF77E74" w:rsidR="004B591E" w:rsidRPr="006C6737" w:rsidRDefault="4A4A4666" w:rsidP="0CEC8DBF">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US"/>
        </w:rPr>
      </w:pPr>
      <w:r w:rsidRPr="006C6737">
        <w:rPr>
          <w:rFonts w:ascii="Arial" w:eastAsia="Encode Sans" w:hAnsi="Arial" w:cs="Arial"/>
          <w:b/>
          <w:bCs/>
          <w:color w:val="333333"/>
          <w:lang w:val="en-US"/>
        </w:rPr>
        <w:lastRenderedPageBreak/>
        <w:t>Support for safer alternatives</w:t>
      </w:r>
      <w:r w:rsidRPr="006C6737">
        <w:rPr>
          <w:rFonts w:ascii="Arial" w:eastAsia="Encode Sans" w:hAnsi="Arial" w:cs="Arial"/>
          <w:color w:val="333333"/>
          <w:lang w:val="en-US"/>
        </w:rPr>
        <w:t xml:space="preserve">: Reward innovation in plastic-free or truly non-toxic materials. </w:t>
      </w:r>
    </w:p>
    <w:p w14:paraId="0332B615" w14:textId="1DF602E7" w:rsidR="004B591E" w:rsidRPr="006C6737" w:rsidRDefault="4A4A4666" w:rsidP="0CEC8DBF">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US"/>
        </w:rPr>
      </w:pPr>
      <w:r w:rsidRPr="006C6737">
        <w:rPr>
          <w:rFonts w:ascii="Arial" w:eastAsia="Encode Sans" w:hAnsi="Arial" w:cs="Arial"/>
          <w:b/>
          <w:bCs/>
          <w:color w:val="333333"/>
          <w:lang w:val="en-US"/>
        </w:rPr>
        <w:t>Consumer education campaigns</w:t>
      </w:r>
      <w:r w:rsidRPr="006C6737">
        <w:rPr>
          <w:rFonts w:ascii="Arial" w:eastAsia="Encode Sans" w:hAnsi="Arial" w:cs="Arial"/>
          <w:color w:val="333333"/>
          <w:lang w:val="en-US"/>
        </w:rPr>
        <w:t xml:space="preserve">: Clear guidance on plastic use, heat exposure, and safer choices. </w:t>
      </w:r>
    </w:p>
    <w:p w14:paraId="7033CA2C" w14:textId="4CFFBEAA" w:rsidR="004B591E" w:rsidRDefault="4A4A4666" w:rsidP="0CEC8DBF">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US"/>
        </w:rPr>
      </w:pPr>
      <w:r w:rsidRPr="006C6737">
        <w:rPr>
          <w:rFonts w:ascii="Arial" w:eastAsia="Encode Sans" w:hAnsi="Arial" w:cs="Arial"/>
          <w:b/>
          <w:bCs/>
          <w:color w:val="333333"/>
          <w:lang w:val="en-US"/>
        </w:rPr>
        <w:t>Microplastic monitoring</w:t>
      </w:r>
      <w:r w:rsidRPr="006C6737">
        <w:rPr>
          <w:rFonts w:ascii="Arial" w:eastAsia="Encode Sans" w:hAnsi="Arial" w:cs="Arial"/>
          <w:color w:val="333333"/>
          <w:lang w:val="en-US"/>
        </w:rPr>
        <w:t xml:space="preserve">: Include mandatory testing in food, water, and common household products. </w:t>
      </w:r>
    </w:p>
    <w:p w14:paraId="799EFBFA" w14:textId="77777777" w:rsidR="006C6737" w:rsidRPr="006C6737" w:rsidRDefault="006C6737" w:rsidP="006C6737">
      <w:pPr>
        <w:pStyle w:val="Prrafodelista"/>
        <w:shd w:val="clear" w:color="auto" w:fill="FFFFFF" w:themeFill="background1"/>
        <w:spacing w:after="0" w:line="276" w:lineRule="auto"/>
        <w:ind w:left="300"/>
        <w:jc w:val="both"/>
        <w:rPr>
          <w:rFonts w:ascii="Arial" w:eastAsia="Encode Sans" w:hAnsi="Arial" w:cs="Arial"/>
          <w:color w:val="333333"/>
          <w:lang w:val="en-US"/>
        </w:rPr>
      </w:pPr>
    </w:p>
    <w:p w14:paraId="457234C8" w14:textId="748023BE" w:rsidR="004B591E" w:rsidRPr="006C6737" w:rsidRDefault="4A4A4666" w:rsidP="0CEC8DBF">
      <w:pPr>
        <w:pStyle w:val="Ttulo3"/>
        <w:shd w:val="clear" w:color="auto" w:fill="FFFFFF" w:themeFill="background1"/>
        <w:spacing w:before="0" w:after="150" w:line="276" w:lineRule="auto"/>
        <w:jc w:val="both"/>
        <w:rPr>
          <w:rFonts w:ascii="Arial" w:hAnsi="Arial" w:cs="Arial"/>
        </w:rPr>
      </w:pPr>
      <w:r w:rsidRPr="006C6737">
        <w:rPr>
          <w:rFonts w:ascii="Arial" w:eastAsia="Helvetica" w:hAnsi="Arial" w:cs="Arial"/>
          <w:b/>
          <w:bCs/>
          <w:caps/>
          <w:color w:val="0A4149"/>
          <w:lang w:val="en-US"/>
        </w:rPr>
        <w:t xml:space="preserve">Your Role as a Consumer: Don’t Settle for “Safe Enough” </w:t>
      </w:r>
    </w:p>
    <w:p w14:paraId="6A7115DB" w14:textId="4427FE8C"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eastAsia="Encode Sans" w:hAnsi="Arial" w:cs="Arial"/>
          <w:color w:val="333333"/>
          <w:lang w:val="en-US"/>
        </w:rPr>
        <w:t xml:space="preserve">You shouldn’t need a chemistry degree to understand what’s in your lunchbox, your child’s toys, or your water bottle. Yet that’s where we are. </w:t>
      </w:r>
    </w:p>
    <w:p w14:paraId="5459C874" w14:textId="0E49424B"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eastAsia="Encode Sans" w:hAnsi="Arial" w:cs="Arial"/>
          <w:color w:val="333333"/>
          <w:lang w:val="en-US"/>
        </w:rPr>
        <w:t xml:space="preserve">So yes, avoid microwaving plastic. Use glass or stainless steel when you can. Be wary of “green” or “BPA-free” labels that offer comfort more than clarity. But more importantly: </w:t>
      </w:r>
      <w:r w:rsidRPr="006C6737">
        <w:rPr>
          <w:rFonts w:ascii="Arial" w:eastAsia="Encode Sans" w:hAnsi="Arial" w:cs="Arial"/>
          <w:b/>
          <w:bCs/>
          <w:color w:val="333333"/>
          <w:lang w:val="en-US"/>
        </w:rPr>
        <w:t xml:space="preserve">demand </w:t>
      </w:r>
      <w:proofErr w:type="gramStart"/>
      <w:r w:rsidRPr="006C6737">
        <w:rPr>
          <w:rFonts w:ascii="Arial" w:eastAsia="Encode Sans" w:hAnsi="Arial" w:cs="Arial"/>
          <w:b/>
          <w:bCs/>
          <w:color w:val="333333"/>
          <w:lang w:val="en-US"/>
        </w:rPr>
        <w:t>change</w:t>
      </w:r>
      <w:proofErr w:type="gramEnd"/>
      <w:r w:rsidRPr="006C6737">
        <w:rPr>
          <w:rFonts w:ascii="Arial" w:eastAsia="Encode Sans" w:hAnsi="Arial" w:cs="Arial"/>
          <w:color w:val="333333"/>
          <w:lang w:val="en-US"/>
        </w:rPr>
        <w:t xml:space="preserve">. </w:t>
      </w:r>
    </w:p>
    <w:p w14:paraId="63B1F307" w14:textId="205CE88C" w:rsidR="004B591E" w:rsidRPr="006C6737" w:rsidRDefault="4A4A4666" w:rsidP="0CEC8DBF">
      <w:pPr>
        <w:shd w:val="clear" w:color="auto" w:fill="FFFFFF" w:themeFill="background1"/>
        <w:spacing w:after="150" w:line="276" w:lineRule="auto"/>
        <w:jc w:val="both"/>
        <w:rPr>
          <w:rFonts w:ascii="Arial" w:hAnsi="Arial" w:cs="Arial"/>
        </w:rPr>
      </w:pPr>
      <w:r w:rsidRPr="006C6737">
        <w:rPr>
          <w:rFonts w:ascii="Arial" w:eastAsia="Encode Sans" w:hAnsi="Arial" w:cs="Arial"/>
          <w:color w:val="333333"/>
          <w:lang w:val="en-US"/>
        </w:rPr>
        <w:t xml:space="preserve">Write to your Member of the Europea Parliament (MEP) representing your constituency. Support organizations pushing for stronger safety standards. Ask brands what they’re doing to reduce toxic exposure. Refuse to be the last stop in a broken system that treats you like a bin for chemical risk. </w:t>
      </w:r>
    </w:p>
    <w:p w14:paraId="5C1A07E2" w14:textId="160603F1" w:rsidR="004B591E" w:rsidRPr="006C6737" w:rsidRDefault="4A4A4666" w:rsidP="0CEC8DBF">
      <w:pPr>
        <w:spacing w:before="240" w:after="240" w:line="276" w:lineRule="auto"/>
        <w:jc w:val="both"/>
        <w:rPr>
          <w:rFonts w:ascii="Arial" w:hAnsi="Arial" w:cs="Arial"/>
        </w:rPr>
      </w:pPr>
      <w:r w:rsidRPr="006C6737">
        <w:rPr>
          <w:rFonts w:ascii="Arial" w:eastAsia="Encode Sans" w:hAnsi="Arial" w:cs="Arial"/>
          <w:color w:val="333333"/>
          <w:lang w:val="en-US"/>
        </w:rPr>
        <w:t>Because plastic is cheap, convenient—and increasingly, it’s our problem.</w:t>
      </w:r>
    </w:p>
    <w:sectPr w:rsidR="004B591E" w:rsidRPr="006C673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E1537" w14:textId="77777777" w:rsidR="004A66C9" w:rsidRDefault="004A66C9">
      <w:pPr>
        <w:spacing w:after="0" w:line="240" w:lineRule="auto"/>
      </w:pPr>
      <w:r>
        <w:separator/>
      </w:r>
    </w:p>
  </w:endnote>
  <w:endnote w:type="continuationSeparator" w:id="0">
    <w:p w14:paraId="1B9C2B76" w14:textId="77777777" w:rsidR="004A66C9" w:rsidRDefault="004A6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9CE7E" w14:textId="77777777" w:rsidR="004A66C9" w:rsidRDefault="004A66C9">
      <w:pPr>
        <w:spacing w:after="0" w:line="240" w:lineRule="auto"/>
      </w:pPr>
      <w:r>
        <w:separator/>
      </w:r>
    </w:p>
  </w:footnote>
  <w:footnote w:type="continuationSeparator" w:id="0">
    <w:p w14:paraId="53C5EF27" w14:textId="77777777" w:rsidR="004A66C9" w:rsidRDefault="004A66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9BA94"/>
    <w:multiLevelType w:val="hybridMultilevel"/>
    <w:tmpl w:val="80443F48"/>
    <w:lvl w:ilvl="0" w:tplc="26BA35FE">
      <w:start w:val="1"/>
      <w:numFmt w:val="decimal"/>
      <w:lvlText w:val="%1."/>
      <w:lvlJc w:val="left"/>
      <w:pPr>
        <w:ind w:left="720" w:hanging="360"/>
      </w:pPr>
    </w:lvl>
    <w:lvl w:ilvl="1" w:tplc="D91A6A44">
      <w:start w:val="1"/>
      <w:numFmt w:val="lowerLetter"/>
      <w:lvlText w:val="%2."/>
      <w:lvlJc w:val="left"/>
      <w:pPr>
        <w:ind w:left="1440" w:hanging="360"/>
      </w:pPr>
    </w:lvl>
    <w:lvl w:ilvl="2" w:tplc="34945D0E">
      <w:start w:val="1"/>
      <w:numFmt w:val="lowerRoman"/>
      <w:lvlText w:val="%3."/>
      <w:lvlJc w:val="right"/>
      <w:pPr>
        <w:ind w:left="2160" w:hanging="180"/>
      </w:pPr>
    </w:lvl>
    <w:lvl w:ilvl="3" w:tplc="74D45900">
      <w:start w:val="1"/>
      <w:numFmt w:val="decimal"/>
      <w:lvlText w:val="%4."/>
      <w:lvlJc w:val="left"/>
      <w:pPr>
        <w:ind w:left="2880" w:hanging="360"/>
      </w:pPr>
    </w:lvl>
    <w:lvl w:ilvl="4" w:tplc="C16E37E2">
      <w:start w:val="1"/>
      <w:numFmt w:val="lowerLetter"/>
      <w:lvlText w:val="%5."/>
      <w:lvlJc w:val="left"/>
      <w:pPr>
        <w:ind w:left="3600" w:hanging="360"/>
      </w:pPr>
    </w:lvl>
    <w:lvl w:ilvl="5" w:tplc="43A2F10A">
      <w:start w:val="1"/>
      <w:numFmt w:val="lowerRoman"/>
      <w:lvlText w:val="%6."/>
      <w:lvlJc w:val="right"/>
      <w:pPr>
        <w:ind w:left="4320" w:hanging="180"/>
      </w:pPr>
    </w:lvl>
    <w:lvl w:ilvl="6" w:tplc="B9F0CFA8">
      <w:start w:val="1"/>
      <w:numFmt w:val="decimal"/>
      <w:lvlText w:val="%7."/>
      <w:lvlJc w:val="left"/>
      <w:pPr>
        <w:ind w:left="5040" w:hanging="360"/>
      </w:pPr>
    </w:lvl>
    <w:lvl w:ilvl="7" w:tplc="02C8326C">
      <w:start w:val="1"/>
      <w:numFmt w:val="lowerLetter"/>
      <w:lvlText w:val="%8."/>
      <w:lvlJc w:val="left"/>
      <w:pPr>
        <w:ind w:left="5760" w:hanging="360"/>
      </w:pPr>
    </w:lvl>
    <w:lvl w:ilvl="8" w:tplc="E89E73F6">
      <w:start w:val="1"/>
      <w:numFmt w:val="lowerRoman"/>
      <w:lvlText w:val="%9."/>
      <w:lvlJc w:val="right"/>
      <w:pPr>
        <w:ind w:left="6480" w:hanging="180"/>
      </w:pPr>
    </w:lvl>
  </w:abstractNum>
  <w:abstractNum w:abstractNumId="1" w15:restartNumberingAfterBreak="0">
    <w:nsid w:val="2BB81336"/>
    <w:multiLevelType w:val="hybridMultilevel"/>
    <w:tmpl w:val="37AC3B56"/>
    <w:lvl w:ilvl="0" w:tplc="E04EC722">
      <w:start w:val="1"/>
      <w:numFmt w:val="bullet"/>
      <w:lvlText w:val=""/>
      <w:lvlJc w:val="left"/>
      <w:pPr>
        <w:ind w:left="720" w:hanging="360"/>
      </w:pPr>
      <w:rPr>
        <w:rFonts w:ascii="Symbol" w:hAnsi="Symbol" w:hint="default"/>
      </w:rPr>
    </w:lvl>
    <w:lvl w:ilvl="1" w:tplc="1EAADC80">
      <w:start w:val="1"/>
      <w:numFmt w:val="bullet"/>
      <w:lvlText w:val="o"/>
      <w:lvlJc w:val="left"/>
      <w:pPr>
        <w:ind w:left="1440" w:hanging="360"/>
      </w:pPr>
      <w:rPr>
        <w:rFonts w:ascii="Courier New" w:hAnsi="Courier New" w:hint="default"/>
      </w:rPr>
    </w:lvl>
    <w:lvl w:ilvl="2" w:tplc="C99E60A0">
      <w:start w:val="1"/>
      <w:numFmt w:val="bullet"/>
      <w:lvlText w:val=""/>
      <w:lvlJc w:val="left"/>
      <w:pPr>
        <w:ind w:left="2160" w:hanging="360"/>
      </w:pPr>
      <w:rPr>
        <w:rFonts w:ascii="Wingdings" w:hAnsi="Wingdings" w:hint="default"/>
      </w:rPr>
    </w:lvl>
    <w:lvl w:ilvl="3" w:tplc="361401F6">
      <w:start w:val="1"/>
      <w:numFmt w:val="bullet"/>
      <w:lvlText w:val=""/>
      <w:lvlJc w:val="left"/>
      <w:pPr>
        <w:ind w:left="2880" w:hanging="360"/>
      </w:pPr>
      <w:rPr>
        <w:rFonts w:ascii="Symbol" w:hAnsi="Symbol" w:hint="default"/>
      </w:rPr>
    </w:lvl>
    <w:lvl w:ilvl="4" w:tplc="963C1F62">
      <w:start w:val="1"/>
      <w:numFmt w:val="bullet"/>
      <w:lvlText w:val="o"/>
      <w:lvlJc w:val="left"/>
      <w:pPr>
        <w:ind w:left="3600" w:hanging="360"/>
      </w:pPr>
      <w:rPr>
        <w:rFonts w:ascii="Courier New" w:hAnsi="Courier New" w:hint="default"/>
      </w:rPr>
    </w:lvl>
    <w:lvl w:ilvl="5" w:tplc="671E3F16">
      <w:start w:val="1"/>
      <w:numFmt w:val="bullet"/>
      <w:lvlText w:val=""/>
      <w:lvlJc w:val="left"/>
      <w:pPr>
        <w:ind w:left="4320" w:hanging="360"/>
      </w:pPr>
      <w:rPr>
        <w:rFonts w:ascii="Wingdings" w:hAnsi="Wingdings" w:hint="default"/>
      </w:rPr>
    </w:lvl>
    <w:lvl w:ilvl="6" w:tplc="99CA6258">
      <w:start w:val="1"/>
      <w:numFmt w:val="bullet"/>
      <w:lvlText w:val=""/>
      <w:lvlJc w:val="left"/>
      <w:pPr>
        <w:ind w:left="5040" w:hanging="360"/>
      </w:pPr>
      <w:rPr>
        <w:rFonts w:ascii="Symbol" w:hAnsi="Symbol" w:hint="default"/>
      </w:rPr>
    </w:lvl>
    <w:lvl w:ilvl="7" w:tplc="21484AE0">
      <w:start w:val="1"/>
      <w:numFmt w:val="bullet"/>
      <w:lvlText w:val="o"/>
      <w:lvlJc w:val="left"/>
      <w:pPr>
        <w:ind w:left="5760" w:hanging="360"/>
      </w:pPr>
      <w:rPr>
        <w:rFonts w:ascii="Courier New" w:hAnsi="Courier New" w:hint="default"/>
      </w:rPr>
    </w:lvl>
    <w:lvl w:ilvl="8" w:tplc="EF5644C8">
      <w:start w:val="1"/>
      <w:numFmt w:val="bullet"/>
      <w:lvlText w:val=""/>
      <w:lvlJc w:val="left"/>
      <w:pPr>
        <w:ind w:left="6480" w:hanging="360"/>
      </w:pPr>
      <w:rPr>
        <w:rFonts w:ascii="Wingdings" w:hAnsi="Wingdings" w:hint="default"/>
      </w:rPr>
    </w:lvl>
  </w:abstractNum>
  <w:abstractNum w:abstractNumId="2" w15:restartNumberingAfterBreak="0">
    <w:nsid w:val="3B719572"/>
    <w:multiLevelType w:val="hybridMultilevel"/>
    <w:tmpl w:val="0BBED0FA"/>
    <w:lvl w:ilvl="0" w:tplc="8D6A827A">
      <w:start w:val="1"/>
      <w:numFmt w:val="bullet"/>
      <w:lvlText w:val=""/>
      <w:lvlJc w:val="left"/>
      <w:pPr>
        <w:ind w:left="720" w:hanging="360"/>
      </w:pPr>
      <w:rPr>
        <w:rFonts w:ascii="Symbol" w:hAnsi="Symbol" w:hint="default"/>
      </w:rPr>
    </w:lvl>
    <w:lvl w:ilvl="1" w:tplc="EECA678E">
      <w:start w:val="1"/>
      <w:numFmt w:val="bullet"/>
      <w:lvlText w:val="o"/>
      <w:lvlJc w:val="left"/>
      <w:pPr>
        <w:ind w:left="1440" w:hanging="360"/>
      </w:pPr>
      <w:rPr>
        <w:rFonts w:ascii="Courier New" w:hAnsi="Courier New" w:hint="default"/>
      </w:rPr>
    </w:lvl>
    <w:lvl w:ilvl="2" w:tplc="190C4244">
      <w:start w:val="1"/>
      <w:numFmt w:val="bullet"/>
      <w:lvlText w:val=""/>
      <w:lvlJc w:val="left"/>
      <w:pPr>
        <w:ind w:left="2160" w:hanging="360"/>
      </w:pPr>
      <w:rPr>
        <w:rFonts w:ascii="Wingdings" w:hAnsi="Wingdings" w:hint="default"/>
      </w:rPr>
    </w:lvl>
    <w:lvl w:ilvl="3" w:tplc="BFD83A6E">
      <w:start w:val="1"/>
      <w:numFmt w:val="bullet"/>
      <w:lvlText w:val=""/>
      <w:lvlJc w:val="left"/>
      <w:pPr>
        <w:ind w:left="2880" w:hanging="360"/>
      </w:pPr>
      <w:rPr>
        <w:rFonts w:ascii="Symbol" w:hAnsi="Symbol" w:hint="default"/>
      </w:rPr>
    </w:lvl>
    <w:lvl w:ilvl="4" w:tplc="F410A6B8">
      <w:start w:val="1"/>
      <w:numFmt w:val="bullet"/>
      <w:lvlText w:val="o"/>
      <w:lvlJc w:val="left"/>
      <w:pPr>
        <w:ind w:left="3600" w:hanging="360"/>
      </w:pPr>
      <w:rPr>
        <w:rFonts w:ascii="Courier New" w:hAnsi="Courier New" w:hint="default"/>
      </w:rPr>
    </w:lvl>
    <w:lvl w:ilvl="5" w:tplc="532ACF96">
      <w:start w:val="1"/>
      <w:numFmt w:val="bullet"/>
      <w:lvlText w:val=""/>
      <w:lvlJc w:val="left"/>
      <w:pPr>
        <w:ind w:left="4320" w:hanging="360"/>
      </w:pPr>
      <w:rPr>
        <w:rFonts w:ascii="Wingdings" w:hAnsi="Wingdings" w:hint="default"/>
      </w:rPr>
    </w:lvl>
    <w:lvl w:ilvl="6" w:tplc="44246988">
      <w:start w:val="1"/>
      <w:numFmt w:val="bullet"/>
      <w:lvlText w:val=""/>
      <w:lvlJc w:val="left"/>
      <w:pPr>
        <w:ind w:left="5040" w:hanging="360"/>
      </w:pPr>
      <w:rPr>
        <w:rFonts w:ascii="Symbol" w:hAnsi="Symbol" w:hint="default"/>
      </w:rPr>
    </w:lvl>
    <w:lvl w:ilvl="7" w:tplc="DCB80034">
      <w:start w:val="1"/>
      <w:numFmt w:val="bullet"/>
      <w:lvlText w:val="o"/>
      <w:lvlJc w:val="left"/>
      <w:pPr>
        <w:ind w:left="5760" w:hanging="360"/>
      </w:pPr>
      <w:rPr>
        <w:rFonts w:ascii="Courier New" w:hAnsi="Courier New" w:hint="default"/>
      </w:rPr>
    </w:lvl>
    <w:lvl w:ilvl="8" w:tplc="322E744C">
      <w:start w:val="1"/>
      <w:numFmt w:val="bullet"/>
      <w:lvlText w:val=""/>
      <w:lvlJc w:val="left"/>
      <w:pPr>
        <w:ind w:left="6480" w:hanging="360"/>
      </w:pPr>
      <w:rPr>
        <w:rFonts w:ascii="Wingdings" w:hAnsi="Wingdings" w:hint="default"/>
      </w:rPr>
    </w:lvl>
  </w:abstractNum>
  <w:abstractNum w:abstractNumId="3" w15:restartNumberingAfterBreak="0">
    <w:nsid w:val="5FEC799F"/>
    <w:multiLevelType w:val="hybridMultilevel"/>
    <w:tmpl w:val="F8A218F6"/>
    <w:lvl w:ilvl="0" w:tplc="F5F098E4">
      <w:start w:val="1"/>
      <w:numFmt w:val="bullet"/>
      <w:lvlText w:val=""/>
      <w:lvlJc w:val="left"/>
      <w:pPr>
        <w:ind w:left="720" w:hanging="360"/>
      </w:pPr>
      <w:rPr>
        <w:rFonts w:ascii="Symbol" w:hAnsi="Symbol" w:hint="default"/>
      </w:rPr>
    </w:lvl>
    <w:lvl w:ilvl="1" w:tplc="CEF4DB6A">
      <w:start w:val="1"/>
      <w:numFmt w:val="bullet"/>
      <w:lvlText w:val="o"/>
      <w:lvlJc w:val="left"/>
      <w:pPr>
        <w:ind w:left="1440" w:hanging="360"/>
      </w:pPr>
      <w:rPr>
        <w:rFonts w:ascii="Courier New" w:hAnsi="Courier New" w:hint="default"/>
      </w:rPr>
    </w:lvl>
    <w:lvl w:ilvl="2" w:tplc="167E2D96">
      <w:start w:val="1"/>
      <w:numFmt w:val="bullet"/>
      <w:lvlText w:val=""/>
      <w:lvlJc w:val="left"/>
      <w:pPr>
        <w:ind w:left="2160" w:hanging="360"/>
      </w:pPr>
      <w:rPr>
        <w:rFonts w:ascii="Wingdings" w:hAnsi="Wingdings" w:hint="default"/>
      </w:rPr>
    </w:lvl>
    <w:lvl w:ilvl="3" w:tplc="1EF038A4">
      <w:start w:val="1"/>
      <w:numFmt w:val="bullet"/>
      <w:lvlText w:val=""/>
      <w:lvlJc w:val="left"/>
      <w:pPr>
        <w:ind w:left="2880" w:hanging="360"/>
      </w:pPr>
      <w:rPr>
        <w:rFonts w:ascii="Symbol" w:hAnsi="Symbol" w:hint="default"/>
      </w:rPr>
    </w:lvl>
    <w:lvl w:ilvl="4" w:tplc="598E159A">
      <w:start w:val="1"/>
      <w:numFmt w:val="bullet"/>
      <w:lvlText w:val="o"/>
      <w:lvlJc w:val="left"/>
      <w:pPr>
        <w:ind w:left="3600" w:hanging="360"/>
      </w:pPr>
      <w:rPr>
        <w:rFonts w:ascii="Courier New" w:hAnsi="Courier New" w:hint="default"/>
      </w:rPr>
    </w:lvl>
    <w:lvl w:ilvl="5" w:tplc="312AA57A">
      <w:start w:val="1"/>
      <w:numFmt w:val="bullet"/>
      <w:lvlText w:val=""/>
      <w:lvlJc w:val="left"/>
      <w:pPr>
        <w:ind w:left="4320" w:hanging="360"/>
      </w:pPr>
      <w:rPr>
        <w:rFonts w:ascii="Wingdings" w:hAnsi="Wingdings" w:hint="default"/>
      </w:rPr>
    </w:lvl>
    <w:lvl w:ilvl="6" w:tplc="A6AA3AF4">
      <w:start w:val="1"/>
      <w:numFmt w:val="bullet"/>
      <w:lvlText w:val=""/>
      <w:lvlJc w:val="left"/>
      <w:pPr>
        <w:ind w:left="5040" w:hanging="360"/>
      </w:pPr>
      <w:rPr>
        <w:rFonts w:ascii="Symbol" w:hAnsi="Symbol" w:hint="default"/>
      </w:rPr>
    </w:lvl>
    <w:lvl w:ilvl="7" w:tplc="F3A23512">
      <w:start w:val="1"/>
      <w:numFmt w:val="bullet"/>
      <w:lvlText w:val="o"/>
      <w:lvlJc w:val="left"/>
      <w:pPr>
        <w:ind w:left="5760" w:hanging="360"/>
      </w:pPr>
      <w:rPr>
        <w:rFonts w:ascii="Courier New" w:hAnsi="Courier New" w:hint="default"/>
      </w:rPr>
    </w:lvl>
    <w:lvl w:ilvl="8" w:tplc="552A84B6">
      <w:start w:val="1"/>
      <w:numFmt w:val="bullet"/>
      <w:lvlText w:val=""/>
      <w:lvlJc w:val="left"/>
      <w:pPr>
        <w:ind w:left="6480" w:hanging="360"/>
      </w:pPr>
      <w:rPr>
        <w:rFonts w:ascii="Wingdings" w:hAnsi="Wingdings" w:hint="default"/>
      </w:rPr>
    </w:lvl>
  </w:abstractNum>
  <w:abstractNum w:abstractNumId="4" w15:restartNumberingAfterBreak="0">
    <w:nsid w:val="6CC6E244"/>
    <w:multiLevelType w:val="hybridMultilevel"/>
    <w:tmpl w:val="180CC36E"/>
    <w:lvl w:ilvl="0" w:tplc="0E6A7ECE">
      <w:start w:val="1"/>
      <w:numFmt w:val="bullet"/>
      <w:lvlText w:val=""/>
      <w:lvlJc w:val="left"/>
      <w:pPr>
        <w:ind w:left="720" w:hanging="360"/>
      </w:pPr>
      <w:rPr>
        <w:rFonts w:ascii="Symbol" w:hAnsi="Symbol" w:hint="default"/>
      </w:rPr>
    </w:lvl>
    <w:lvl w:ilvl="1" w:tplc="17E87D9C">
      <w:start w:val="1"/>
      <w:numFmt w:val="bullet"/>
      <w:lvlText w:val="o"/>
      <w:lvlJc w:val="left"/>
      <w:pPr>
        <w:ind w:left="1440" w:hanging="360"/>
      </w:pPr>
      <w:rPr>
        <w:rFonts w:ascii="Courier New" w:hAnsi="Courier New" w:hint="default"/>
      </w:rPr>
    </w:lvl>
    <w:lvl w:ilvl="2" w:tplc="3C6A08F6">
      <w:start w:val="1"/>
      <w:numFmt w:val="bullet"/>
      <w:lvlText w:val=""/>
      <w:lvlJc w:val="left"/>
      <w:pPr>
        <w:ind w:left="2160" w:hanging="360"/>
      </w:pPr>
      <w:rPr>
        <w:rFonts w:ascii="Wingdings" w:hAnsi="Wingdings" w:hint="default"/>
      </w:rPr>
    </w:lvl>
    <w:lvl w:ilvl="3" w:tplc="04A2156E">
      <w:start w:val="1"/>
      <w:numFmt w:val="bullet"/>
      <w:lvlText w:val=""/>
      <w:lvlJc w:val="left"/>
      <w:pPr>
        <w:ind w:left="2880" w:hanging="360"/>
      </w:pPr>
      <w:rPr>
        <w:rFonts w:ascii="Symbol" w:hAnsi="Symbol" w:hint="default"/>
      </w:rPr>
    </w:lvl>
    <w:lvl w:ilvl="4" w:tplc="75909B2A">
      <w:start w:val="1"/>
      <w:numFmt w:val="bullet"/>
      <w:lvlText w:val="o"/>
      <w:lvlJc w:val="left"/>
      <w:pPr>
        <w:ind w:left="3600" w:hanging="360"/>
      </w:pPr>
      <w:rPr>
        <w:rFonts w:ascii="Courier New" w:hAnsi="Courier New" w:hint="default"/>
      </w:rPr>
    </w:lvl>
    <w:lvl w:ilvl="5" w:tplc="166CAD84">
      <w:start w:val="1"/>
      <w:numFmt w:val="bullet"/>
      <w:lvlText w:val=""/>
      <w:lvlJc w:val="left"/>
      <w:pPr>
        <w:ind w:left="4320" w:hanging="360"/>
      </w:pPr>
      <w:rPr>
        <w:rFonts w:ascii="Wingdings" w:hAnsi="Wingdings" w:hint="default"/>
      </w:rPr>
    </w:lvl>
    <w:lvl w:ilvl="6" w:tplc="51442372">
      <w:start w:val="1"/>
      <w:numFmt w:val="bullet"/>
      <w:lvlText w:val=""/>
      <w:lvlJc w:val="left"/>
      <w:pPr>
        <w:ind w:left="5040" w:hanging="360"/>
      </w:pPr>
      <w:rPr>
        <w:rFonts w:ascii="Symbol" w:hAnsi="Symbol" w:hint="default"/>
      </w:rPr>
    </w:lvl>
    <w:lvl w:ilvl="7" w:tplc="11FA1110">
      <w:start w:val="1"/>
      <w:numFmt w:val="bullet"/>
      <w:lvlText w:val="o"/>
      <w:lvlJc w:val="left"/>
      <w:pPr>
        <w:ind w:left="5760" w:hanging="360"/>
      </w:pPr>
      <w:rPr>
        <w:rFonts w:ascii="Courier New" w:hAnsi="Courier New" w:hint="default"/>
      </w:rPr>
    </w:lvl>
    <w:lvl w:ilvl="8" w:tplc="EF7884DA">
      <w:start w:val="1"/>
      <w:numFmt w:val="bullet"/>
      <w:lvlText w:val=""/>
      <w:lvlJc w:val="left"/>
      <w:pPr>
        <w:ind w:left="6480" w:hanging="360"/>
      </w:pPr>
      <w:rPr>
        <w:rFonts w:ascii="Wingdings" w:hAnsi="Wingdings" w:hint="default"/>
      </w:rPr>
    </w:lvl>
  </w:abstractNum>
  <w:abstractNum w:abstractNumId="5" w15:restartNumberingAfterBreak="0">
    <w:nsid w:val="73309BFE"/>
    <w:multiLevelType w:val="hybridMultilevel"/>
    <w:tmpl w:val="0DEA34C8"/>
    <w:lvl w:ilvl="0" w:tplc="3B56B1BC">
      <w:start w:val="1"/>
      <w:numFmt w:val="decimal"/>
      <w:lvlText w:val="%1."/>
      <w:lvlJc w:val="left"/>
      <w:pPr>
        <w:ind w:left="720" w:hanging="360"/>
      </w:pPr>
    </w:lvl>
    <w:lvl w:ilvl="1" w:tplc="FB1C2428">
      <w:start w:val="1"/>
      <w:numFmt w:val="lowerLetter"/>
      <w:lvlText w:val="%2."/>
      <w:lvlJc w:val="left"/>
      <w:pPr>
        <w:ind w:left="1440" w:hanging="360"/>
      </w:pPr>
    </w:lvl>
    <w:lvl w:ilvl="2" w:tplc="7E2E09DC">
      <w:start w:val="1"/>
      <w:numFmt w:val="lowerRoman"/>
      <w:lvlText w:val="%3."/>
      <w:lvlJc w:val="right"/>
      <w:pPr>
        <w:ind w:left="2160" w:hanging="180"/>
      </w:pPr>
    </w:lvl>
    <w:lvl w:ilvl="3" w:tplc="83B65EA2">
      <w:start w:val="1"/>
      <w:numFmt w:val="decimal"/>
      <w:lvlText w:val="%4."/>
      <w:lvlJc w:val="left"/>
      <w:pPr>
        <w:ind w:left="2880" w:hanging="360"/>
      </w:pPr>
    </w:lvl>
    <w:lvl w:ilvl="4" w:tplc="C4BACBB8">
      <w:start w:val="1"/>
      <w:numFmt w:val="lowerLetter"/>
      <w:lvlText w:val="%5."/>
      <w:lvlJc w:val="left"/>
      <w:pPr>
        <w:ind w:left="3600" w:hanging="360"/>
      </w:pPr>
    </w:lvl>
    <w:lvl w:ilvl="5" w:tplc="E4BC94F2">
      <w:start w:val="1"/>
      <w:numFmt w:val="lowerRoman"/>
      <w:lvlText w:val="%6."/>
      <w:lvlJc w:val="right"/>
      <w:pPr>
        <w:ind w:left="4320" w:hanging="180"/>
      </w:pPr>
    </w:lvl>
    <w:lvl w:ilvl="6" w:tplc="6B3EAA6C">
      <w:start w:val="1"/>
      <w:numFmt w:val="decimal"/>
      <w:lvlText w:val="%7."/>
      <w:lvlJc w:val="left"/>
      <w:pPr>
        <w:ind w:left="5040" w:hanging="360"/>
      </w:pPr>
    </w:lvl>
    <w:lvl w:ilvl="7" w:tplc="A566CDF6">
      <w:start w:val="1"/>
      <w:numFmt w:val="lowerLetter"/>
      <w:lvlText w:val="%8."/>
      <w:lvlJc w:val="left"/>
      <w:pPr>
        <w:ind w:left="5760" w:hanging="360"/>
      </w:pPr>
    </w:lvl>
    <w:lvl w:ilvl="8" w:tplc="E040A65A">
      <w:start w:val="1"/>
      <w:numFmt w:val="lowerRoman"/>
      <w:lvlText w:val="%9."/>
      <w:lvlJc w:val="right"/>
      <w:pPr>
        <w:ind w:left="6480" w:hanging="180"/>
      </w:pPr>
    </w:lvl>
  </w:abstractNum>
  <w:num w:numId="1" w16cid:durableId="64569626">
    <w:abstractNumId w:val="0"/>
  </w:num>
  <w:num w:numId="2" w16cid:durableId="1619991057">
    <w:abstractNumId w:val="4"/>
  </w:num>
  <w:num w:numId="3" w16cid:durableId="801315154">
    <w:abstractNumId w:val="2"/>
  </w:num>
  <w:num w:numId="4" w16cid:durableId="1434981845">
    <w:abstractNumId w:val="5"/>
  </w:num>
  <w:num w:numId="5" w16cid:durableId="802383918">
    <w:abstractNumId w:val="1"/>
  </w:num>
  <w:num w:numId="6" w16cid:durableId="1147125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DDAE5C5"/>
    <w:rsid w:val="004A66C9"/>
    <w:rsid w:val="004B591E"/>
    <w:rsid w:val="006C6737"/>
    <w:rsid w:val="00B60E4C"/>
    <w:rsid w:val="02AC0C71"/>
    <w:rsid w:val="050A0EF4"/>
    <w:rsid w:val="058F415B"/>
    <w:rsid w:val="06040424"/>
    <w:rsid w:val="0A5FEF4F"/>
    <w:rsid w:val="0B673AD8"/>
    <w:rsid w:val="0CEC8DBF"/>
    <w:rsid w:val="0D194A85"/>
    <w:rsid w:val="0DEC6EA6"/>
    <w:rsid w:val="102D327B"/>
    <w:rsid w:val="12BC361F"/>
    <w:rsid w:val="136C93EA"/>
    <w:rsid w:val="141F0B96"/>
    <w:rsid w:val="156BCB34"/>
    <w:rsid w:val="197F4B4E"/>
    <w:rsid w:val="1E29030A"/>
    <w:rsid w:val="20D49753"/>
    <w:rsid w:val="210DD1F4"/>
    <w:rsid w:val="25AEF506"/>
    <w:rsid w:val="2DDAE5C5"/>
    <w:rsid w:val="2FE1BEF5"/>
    <w:rsid w:val="3048614C"/>
    <w:rsid w:val="32477FBD"/>
    <w:rsid w:val="34E0ED1E"/>
    <w:rsid w:val="362775FB"/>
    <w:rsid w:val="37797789"/>
    <w:rsid w:val="39CFDD85"/>
    <w:rsid w:val="3D4E1B31"/>
    <w:rsid w:val="3F173EBE"/>
    <w:rsid w:val="3FF94EFF"/>
    <w:rsid w:val="430C1716"/>
    <w:rsid w:val="447F9B0F"/>
    <w:rsid w:val="44EEE10A"/>
    <w:rsid w:val="471EC054"/>
    <w:rsid w:val="475FD954"/>
    <w:rsid w:val="495879EE"/>
    <w:rsid w:val="4A4A4666"/>
    <w:rsid w:val="4AAE12F5"/>
    <w:rsid w:val="4C0F6CBA"/>
    <w:rsid w:val="4C6564F0"/>
    <w:rsid w:val="4E921035"/>
    <w:rsid w:val="511B3F99"/>
    <w:rsid w:val="5301A205"/>
    <w:rsid w:val="54111AB4"/>
    <w:rsid w:val="57FCD6F9"/>
    <w:rsid w:val="583CF1F8"/>
    <w:rsid w:val="625E31A9"/>
    <w:rsid w:val="65001B84"/>
    <w:rsid w:val="65D0F504"/>
    <w:rsid w:val="6D61065B"/>
    <w:rsid w:val="6D6A5539"/>
    <w:rsid w:val="6FAB8723"/>
    <w:rsid w:val="73063212"/>
    <w:rsid w:val="732CE930"/>
    <w:rsid w:val="75CCF828"/>
    <w:rsid w:val="77463E25"/>
    <w:rsid w:val="7874BCD8"/>
    <w:rsid w:val="796A1409"/>
    <w:rsid w:val="79937460"/>
    <w:rsid w:val="7E91F64D"/>
    <w:rsid w:val="7EE2DB37"/>
    <w:rsid w:val="7FFE39D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AE5C5"/>
  <w15:chartTrackingRefBased/>
  <w15:docId w15:val="{AB81B724-9BAC-4FBA-9777-BFC05106C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uiPriority w:val="9"/>
    <w:unhideWhenUsed/>
    <w:qFormat/>
    <w:rsid w:val="156BCB34"/>
    <w:pPr>
      <w:keepNext/>
      <w:keepLines/>
      <w:spacing w:before="160" w:after="80"/>
      <w:outlineLvl w:val="1"/>
    </w:pPr>
    <w:rPr>
      <w:rFonts w:asciiTheme="majorHAnsi" w:eastAsiaTheme="minorEastAsia" w:hAnsiTheme="majorHAnsi" w:cstheme="majorEastAsia"/>
      <w:color w:val="0F4761" w:themeColor="accent1" w:themeShade="BF"/>
      <w:sz w:val="32"/>
      <w:szCs w:val="32"/>
    </w:rPr>
  </w:style>
  <w:style w:type="paragraph" w:styleId="Ttulo3">
    <w:name w:val="heading 3"/>
    <w:basedOn w:val="Normal"/>
    <w:next w:val="Normal"/>
    <w:uiPriority w:val="9"/>
    <w:unhideWhenUsed/>
    <w:qFormat/>
    <w:rsid w:val="156BCB34"/>
    <w:pPr>
      <w:keepNext/>
      <w:keepLines/>
      <w:spacing w:before="160" w:after="80"/>
      <w:outlineLvl w:val="2"/>
    </w:pPr>
    <w:rPr>
      <w:rFonts w:eastAsiaTheme="minorEastAsia" w:cstheme="majorEastAsia"/>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156BCB34"/>
    <w:pPr>
      <w:ind w:left="720"/>
      <w:contextualSpacing/>
    </w:pPr>
  </w:style>
  <w:style w:type="character" w:styleId="Hipervnculo">
    <w:name w:val="Hyperlink"/>
    <w:basedOn w:val="Fuentedeprrafopredeter"/>
    <w:uiPriority w:val="99"/>
    <w:unhideWhenUsed/>
    <w:rPr>
      <w:color w:val="467886" w:themeColor="hyperlink"/>
      <w:u w:val="single"/>
    </w:rPr>
  </w:style>
  <w:style w:type="paragraph" w:styleId="Textonotapie">
    <w:name w:val="footnote text"/>
    <w:basedOn w:val="Normal"/>
    <w:uiPriority w:val="99"/>
    <w:semiHidden/>
    <w:unhideWhenUsed/>
    <w:rsid w:val="6D61065B"/>
    <w:pPr>
      <w:spacing w:after="0" w:line="240" w:lineRule="auto"/>
    </w:pPr>
    <w:rPr>
      <w:sz w:val="20"/>
      <w:szCs w:val="20"/>
    </w:rPr>
  </w:style>
  <w:style w:type="character" w:styleId="Refdenotaalpie">
    <w:name w:val="footnote reference"/>
    <w:basedOn w:val="Fuentedeprrafopredeter"/>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nvironment.ec.europa.eu/topics/plastics/single-use-plastics_en" TargetMode="External"/><Relationship Id="rId18" Type="http://schemas.openxmlformats.org/officeDocument/2006/relationships/hyperlink" Target="https://commission.europa.eu/live-work-travel-eu/consumer-rights-and-complaints_e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ur-lex.europa.eu/eli/reg/2011/10/oj/eng" TargetMode="External"/><Relationship Id="rId17" Type="http://schemas.openxmlformats.org/officeDocument/2006/relationships/image" Target="media/image1.jpg"/><Relationship Id="rId2" Type="http://schemas.openxmlformats.org/officeDocument/2006/relationships/customXml" Target="../customXml/item2.xml"/><Relationship Id="rId16" Type="http://schemas.openxmlformats.org/officeDocument/2006/relationships/hyperlink" Target="https://www.sciencedirect.com/science/article/pii/S2772416625000798?via%3Dihu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nvironment.ec.europa.eu/topics/chemicals/reach-regulation_en" TargetMode="External"/><Relationship Id="rId5" Type="http://schemas.openxmlformats.org/officeDocument/2006/relationships/styles" Target="styles.xml"/><Relationship Id="rId15" Type="http://schemas.openxmlformats.org/officeDocument/2006/relationships/hyperlink" Target="https://www.efsa.europa.eu/en/news/efsa-lowers-tolerable-daily-intake-bisphenol-bpa" TargetMode="External"/><Relationship Id="rId10" Type="http://schemas.openxmlformats.org/officeDocument/2006/relationships/hyperlink" Target="https://environment.ec.europa.eu/topics/waste-and-recycling/packaging-waste_en"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cha.europa.eu/documents/10162/23821820/scip_echa_consolidated_report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69EE40-D3D1-4A9B-BA9B-4311FEF1D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63815C-0666-4DFE-95D8-5828A499AB3A}">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3.xml><?xml version="1.0" encoding="utf-8"?>
<ds:datastoreItem xmlns:ds="http://schemas.openxmlformats.org/officeDocument/2006/customXml" ds:itemID="{C3A6F8EC-42D6-4F79-9C8C-114289138F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1269</Words>
  <Characters>6985</Characters>
  <Application>Microsoft Office Word</Application>
  <DocSecurity>0</DocSecurity>
  <Lines>58</Lines>
  <Paragraphs>16</Paragraphs>
  <ScaleCrop>false</ScaleCrop>
  <Company/>
  <LinksUpToDate>false</LinksUpToDate>
  <CharactersWithSpaces>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Lidia Moscardó</cp:lastModifiedBy>
  <cp:revision>2</cp:revision>
  <dcterms:created xsi:type="dcterms:W3CDTF">2025-06-23T14:10:00Z</dcterms:created>
  <dcterms:modified xsi:type="dcterms:W3CDTF">2026-09-14T09:54:00Z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