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FBF28" w14:textId="48AFD20F" w:rsidR="14D6E49C" w:rsidRPr="00AB3FCC" w:rsidRDefault="25F5EDBB" w:rsidP="21CBE819">
      <w:pPr>
        <w:pStyle w:val="Ttulo2"/>
        <w:shd w:val="clear" w:color="auto" w:fill="FFFFFF" w:themeFill="background1"/>
        <w:spacing w:before="0" w:after="150" w:line="276" w:lineRule="auto"/>
        <w:jc w:val="both"/>
        <w:rPr>
          <w:rFonts w:ascii="Arial" w:eastAsia="Helvetica" w:hAnsi="Arial" w:cs="Arial"/>
          <w:b/>
          <w:bCs/>
          <w:caps/>
          <w:color w:val="0A4149"/>
          <w:sz w:val="36"/>
          <w:szCs w:val="36"/>
          <w:lang w:val="en-US"/>
        </w:rPr>
      </w:pPr>
      <w:r w:rsidRPr="00AB3FCC">
        <w:rPr>
          <w:rFonts w:ascii="Arial" w:eastAsia="Helvetica" w:hAnsi="Arial" w:cs="Arial"/>
          <w:b/>
          <w:bCs/>
          <w:caps/>
          <w:color w:val="0A4149"/>
          <w:sz w:val="36"/>
          <w:szCs w:val="36"/>
          <w:lang w:val="en-US"/>
        </w:rPr>
        <w:t xml:space="preserve">Choosing Reusable over Single-Use: Why It Really Pays Off </w:t>
      </w:r>
    </w:p>
    <w:p w14:paraId="6F854187" w14:textId="570B5E39"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We live in a world drowning in disposables. Coffee comes in cups designed to last minutes, groceries in bags that survive centuries, and takeaway in boxes we forget about before the meal is even finished.</w:t>
      </w:r>
    </w:p>
    <w:p w14:paraId="3EB8746B" w14:textId="22D0156B"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b/>
          <w:bCs/>
          <w:color w:val="333333"/>
          <w:lang w:val="en-US"/>
        </w:rPr>
        <w:t>The promise of convenience has left us buried in waste.</w:t>
      </w:r>
    </w:p>
    <w:p w14:paraId="332E7073" w14:textId="7234F543"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That’s why “reusable” became such a powerful word. It promised simplicity, responsibility, even a touch of pride. Carrying a tote or a steel bottle became a quiet way of saying: </w:t>
      </w:r>
      <w:r w:rsidRPr="00AB3FCC">
        <w:rPr>
          <w:rFonts w:ascii="Arial" w:eastAsia="Encode Sans" w:hAnsi="Arial" w:cs="Arial"/>
          <w:i/>
          <w:iCs/>
          <w:color w:val="333333"/>
          <w:lang w:val="en-US"/>
        </w:rPr>
        <w:t>I care</w:t>
      </w:r>
      <w:r w:rsidRPr="00AB3FCC">
        <w:rPr>
          <w:rFonts w:ascii="Arial" w:eastAsia="Encode Sans" w:hAnsi="Arial" w:cs="Arial"/>
          <w:color w:val="333333"/>
          <w:lang w:val="en-US"/>
        </w:rPr>
        <w:t xml:space="preserve">. </w:t>
      </w:r>
    </w:p>
    <w:p w14:paraId="2F595D1D" w14:textId="2B964D52"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But let’s be honest. How many of those “reusables” are </w:t>
      </w:r>
      <w:proofErr w:type="gramStart"/>
      <w:r w:rsidRPr="00AB3FCC">
        <w:rPr>
          <w:rFonts w:ascii="Arial" w:eastAsia="Encode Sans" w:hAnsi="Arial" w:cs="Arial"/>
          <w:color w:val="333333"/>
          <w:lang w:val="en-US"/>
        </w:rPr>
        <w:t>actually used</w:t>
      </w:r>
      <w:proofErr w:type="gramEnd"/>
      <w:r w:rsidRPr="00AB3FCC">
        <w:rPr>
          <w:rFonts w:ascii="Arial" w:eastAsia="Encode Sans" w:hAnsi="Arial" w:cs="Arial"/>
          <w:color w:val="333333"/>
          <w:lang w:val="en-US"/>
        </w:rPr>
        <w:t xml:space="preserve"> enough to matter? How many end up stuffed in drawers, left in the car, or abandoned after a few weeks? We don’t always like to admit it, but </w:t>
      </w:r>
      <w:r w:rsidRPr="00AB3FCC">
        <w:rPr>
          <w:rFonts w:ascii="Arial" w:eastAsia="Encode Sans" w:hAnsi="Arial" w:cs="Arial"/>
          <w:b/>
          <w:bCs/>
          <w:color w:val="333333"/>
          <w:lang w:val="en-US"/>
        </w:rPr>
        <w:t xml:space="preserve">sometimes the problem isn’t that reusables don’t </w:t>
      </w:r>
      <w:proofErr w:type="gramStart"/>
      <w:r w:rsidRPr="00AB3FCC">
        <w:rPr>
          <w:rFonts w:ascii="Arial" w:eastAsia="Encode Sans" w:hAnsi="Arial" w:cs="Arial"/>
          <w:b/>
          <w:bCs/>
          <w:color w:val="333333"/>
          <w:lang w:val="en-US"/>
        </w:rPr>
        <w:t>work—</w:t>
      </w:r>
      <w:proofErr w:type="gramEnd"/>
      <w:r w:rsidRPr="00AB3FCC">
        <w:rPr>
          <w:rFonts w:ascii="Arial" w:eastAsia="Encode Sans" w:hAnsi="Arial" w:cs="Arial"/>
          <w:b/>
          <w:bCs/>
          <w:color w:val="333333"/>
          <w:lang w:val="en-US"/>
        </w:rPr>
        <w:t>it’s that we don’t.</w:t>
      </w:r>
      <w:r w:rsidRPr="00AB3FCC">
        <w:rPr>
          <w:rFonts w:ascii="Arial" w:eastAsia="Encode Sans" w:hAnsi="Arial" w:cs="Arial"/>
          <w:color w:val="333333"/>
          <w:lang w:val="en-US"/>
        </w:rPr>
        <w:t xml:space="preserve"> </w:t>
      </w:r>
    </w:p>
    <w:p w14:paraId="0DC61E32" w14:textId="0FCD1FE2"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You’ve heard it a thousand times: </w:t>
      </w:r>
      <w:r w:rsidRPr="00AB3FCC">
        <w:rPr>
          <w:rFonts w:ascii="Arial" w:eastAsia="Encode Sans" w:hAnsi="Arial" w:cs="Arial"/>
          <w:i/>
          <w:iCs/>
          <w:color w:val="333333"/>
          <w:lang w:val="en-US"/>
        </w:rPr>
        <w:t xml:space="preserve">“Say no to </w:t>
      </w:r>
      <w:proofErr w:type="gramStart"/>
      <w:r w:rsidRPr="00AB3FCC">
        <w:rPr>
          <w:rFonts w:ascii="Arial" w:eastAsia="Encode Sans" w:hAnsi="Arial" w:cs="Arial"/>
          <w:i/>
          <w:iCs/>
          <w:color w:val="333333"/>
          <w:lang w:val="en-US"/>
        </w:rPr>
        <w:t>single-use</w:t>
      </w:r>
      <w:proofErr w:type="gramEnd"/>
      <w:r w:rsidRPr="00AB3FCC">
        <w:rPr>
          <w:rFonts w:ascii="Arial" w:eastAsia="Encode Sans" w:hAnsi="Arial" w:cs="Arial"/>
          <w:i/>
          <w:iCs/>
          <w:color w:val="333333"/>
          <w:lang w:val="en-US"/>
        </w:rPr>
        <w:t>, choose reusable!”</w:t>
      </w:r>
      <w:r w:rsidRPr="00AB3FCC">
        <w:rPr>
          <w:rFonts w:ascii="Arial" w:eastAsia="Encode Sans" w:hAnsi="Arial" w:cs="Arial"/>
          <w:color w:val="333333"/>
          <w:lang w:val="en-US"/>
        </w:rPr>
        <w:t xml:space="preserve"> But then someone pops up with a scary number: </w:t>
      </w:r>
      <w:r w:rsidRPr="00AB3FCC">
        <w:rPr>
          <w:rFonts w:ascii="Arial" w:eastAsia="Encode Sans" w:hAnsi="Arial" w:cs="Arial"/>
          <w:i/>
          <w:iCs/>
          <w:color w:val="333333"/>
          <w:lang w:val="en-US"/>
        </w:rPr>
        <w:t>“Did you know a cotton tote needs 7,000 uses to beat a plastic bag?”</w:t>
      </w:r>
      <w:r w:rsidRPr="00AB3FCC">
        <w:rPr>
          <w:rFonts w:ascii="Arial" w:eastAsia="Encode Sans" w:hAnsi="Arial" w:cs="Arial"/>
          <w:color w:val="333333"/>
          <w:lang w:val="en-US"/>
        </w:rPr>
        <w:t xml:space="preserve"> Suddenly, it feels like reusables are a scam. </w:t>
      </w:r>
    </w:p>
    <w:p w14:paraId="578D69FB" w14:textId="56E6BDA5"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The truth? </w:t>
      </w:r>
      <w:r w:rsidRPr="00AB3FCC">
        <w:rPr>
          <w:rFonts w:ascii="Arial" w:eastAsia="Encode Sans" w:hAnsi="Arial" w:cs="Arial"/>
          <w:b/>
          <w:bCs/>
          <w:color w:val="333333"/>
          <w:lang w:val="en-US"/>
        </w:rPr>
        <w:t>Reusables work</w:t>
      </w:r>
      <w:r w:rsidRPr="00AB3FCC">
        <w:rPr>
          <w:rFonts w:ascii="Arial" w:eastAsia="Encode Sans" w:hAnsi="Arial" w:cs="Arial"/>
          <w:color w:val="333333"/>
          <w:lang w:val="en-US"/>
        </w:rPr>
        <w:t xml:space="preserve">—but like gym memberships, they only pay off if you </w:t>
      </w:r>
      <w:proofErr w:type="gramStart"/>
      <w:r w:rsidRPr="00AB3FCC">
        <w:rPr>
          <w:rFonts w:ascii="Arial" w:eastAsia="Encode Sans" w:hAnsi="Arial" w:cs="Arial"/>
          <w:color w:val="333333"/>
          <w:lang w:val="en-US"/>
        </w:rPr>
        <w:t>actually use</w:t>
      </w:r>
      <w:proofErr w:type="gramEnd"/>
      <w:r w:rsidRPr="00AB3FCC">
        <w:rPr>
          <w:rFonts w:ascii="Arial" w:eastAsia="Encode Sans" w:hAnsi="Arial" w:cs="Arial"/>
          <w:color w:val="333333"/>
          <w:lang w:val="en-US"/>
        </w:rPr>
        <w:t xml:space="preserve"> them. Here’s what the evidence says, in plain English. </w:t>
      </w:r>
    </w:p>
    <w:p w14:paraId="6922AD8C" w14:textId="7EDB1000"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 </w:t>
      </w:r>
    </w:p>
    <w:p w14:paraId="02CA3963" w14:textId="10FFC84A" w:rsidR="14D6E49C" w:rsidRPr="00AB3FCC" w:rsidRDefault="25F5EDBB" w:rsidP="21CBE819">
      <w:pPr>
        <w:pStyle w:val="Ttulo3"/>
        <w:shd w:val="clear" w:color="auto" w:fill="FFFFFF" w:themeFill="background1"/>
        <w:spacing w:before="0" w:after="150" w:line="276" w:lineRule="auto"/>
        <w:jc w:val="both"/>
        <w:rPr>
          <w:rFonts w:ascii="Arial" w:hAnsi="Arial" w:cs="Arial"/>
        </w:rPr>
      </w:pPr>
      <w:r w:rsidRPr="00AB3FCC">
        <w:rPr>
          <w:rFonts w:ascii="Arial" w:eastAsia="Helvetica" w:hAnsi="Arial" w:cs="Arial"/>
          <w:b/>
          <w:bCs/>
          <w:caps/>
          <w:color w:val="0A4149"/>
          <w:lang w:val="en-US"/>
        </w:rPr>
        <w:t xml:space="preserve">Bags: The Tote Myth </w:t>
      </w:r>
    </w:p>
    <w:p w14:paraId="1DAC1022" w14:textId="4AF9FC8C"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Yes, the famous cotton tote comes with a big footprint at the start. If you only use it a handful of times, you’re right: the thin plastic bag wins. But keep reusing it—week after week, for years—and the story flips. A UK study calculated that for climate impact alone, a cotton bag pays off after about </w:t>
      </w:r>
      <w:r w:rsidRPr="00AB3FCC">
        <w:rPr>
          <w:rFonts w:ascii="Arial" w:eastAsia="Encode Sans" w:hAnsi="Arial" w:cs="Arial"/>
          <w:b/>
          <w:bCs/>
          <w:color w:val="333333"/>
          <w:lang w:val="en-US"/>
        </w:rPr>
        <w:t>131 uses</w:t>
      </w:r>
      <w:r w:rsidRPr="00AB3FCC">
        <w:rPr>
          <w:rFonts w:ascii="Arial" w:eastAsia="Encode Sans" w:hAnsi="Arial" w:cs="Arial"/>
          <w:color w:val="333333"/>
          <w:lang w:val="en-US"/>
        </w:rPr>
        <w:t xml:space="preserve"> (</w:t>
      </w:r>
      <w:hyperlink r:id="rId8">
        <w:r w:rsidRPr="00AB3FCC">
          <w:rPr>
            <w:rStyle w:val="Hipervnculo"/>
            <w:rFonts w:ascii="Arial" w:eastAsia="Encode Sans" w:hAnsi="Arial" w:cs="Arial"/>
            <w:color w:val="028287"/>
            <w:lang w:val="en-US"/>
          </w:rPr>
          <w:t>UK Environment Agency, 2011</w:t>
        </w:r>
      </w:hyperlink>
      <w:r w:rsidRPr="00AB3FCC">
        <w:rPr>
          <w:rFonts w:ascii="Arial" w:eastAsia="Encode Sans" w:hAnsi="Arial" w:cs="Arial"/>
          <w:color w:val="333333"/>
          <w:lang w:val="en-US"/>
        </w:rPr>
        <w:t xml:space="preserve">). That’s like using it for your weekly shop for just over 2 years. </w:t>
      </w:r>
    </w:p>
    <w:p w14:paraId="3912696B" w14:textId="20B6D0B2" w:rsidR="14D6E49C" w:rsidRPr="00AB3FCC" w:rsidRDefault="25F5EDBB" w:rsidP="21CBE819">
      <w:pPr>
        <w:shd w:val="clear" w:color="auto" w:fill="FFFFFF" w:themeFill="background1"/>
        <w:spacing w:after="150" w:line="276" w:lineRule="auto"/>
        <w:jc w:val="both"/>
        <w:rPr>
          <w:rFonts w:ascii="Arial" w:eastAsia="Encode Sans" w:hAnsi="Arial" w:cs="Arial"/>
          <w:color w:val="333333"/>
          <w:lang w:val="en-US"/>
        </w:rPr>
      </w:pPr>
      <w:r w:rsidRPr="00AB3FCC">
        <w:rPr>
          <w:rFonts w:ascii="Arial" w:eastAsia="Encode Sans" w:hAnsi="Arial" w:cs="Arial"/>
          <w:color w:val="333333"/>
          <w:lang w:val="en-US"/>
        </w:rPr>
        <w:t xml:space="preserve">And let’s be honest: most of us already use our bags far more than that without even thinking about it. From groceries to gym clothes to carrying lunch, a single tote can quickly rack up those numbers.  </w:t>
      </w:r>
    </w:p>
    <w:p w14:paraId="5B8EFCAB" w14:textId="6789F030"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The real villain? </w:t>
      </w:r>
      <w:r w:rsidRPr="00AB3FCC">
        <w:rPr>
          <w:rFonts w:ascii="Arial" w:eastAsia="Encode Sans" w:hAnsi="Arial" w:cs="Arial"/>
          <w:b/>
          <w:bCs/>
          <w:color w:val="333333"/>
          <w:lang w:val="en-US"/>
        </w:rPr>
        <w:t xml:space="preserve">Collecting dozens of </w:t>
      </w:r>
      <w:proofErr w:type="gramStart"/>
      <w:r w:rsidRPr="00AB3FCC">
        <w:rPr>
          <w:rFonts w:ascii="Arial" w:eastAsia="Encode Sans" w:hAnsi="Arial" w:cs="Arial"/>
          <w:b/>
          <w:bCs/>
          <w:color w:val="333333"/>
          <w:lang w:val="en-US"/>
        </w:rPr>
        <w:t>totes</w:t>
      </w:r>
      <w:proofErr w:type="gramEnd"/>
      <w:r w:rsidRPr="00AB3FCC">
        <w:rPr>
          <w:rFonts w:ascii="Arial" w:eastAsia="Encode Sans" w:hAnsi="Arial" w:cs="Arial"/>
          <w:b/>
          <w:bCs/>
          <w:color w:val="333333"/>
          <w:lang w:val="en-US"/>
        </w:rPr>
        <w:t xml:space="preserve"> you never use.</w:t>
      </w:r>
      <w:r w:rsidRPr="00AB3FCC">
        <w:rPr>
          <w:rFonts w:ascii="Arial" w:eastAsia="Encode Sans" w:hAnsi="Arial" w:cs="Arial"/>
          <w:color w:val="333333"/>
          <w:lang w:val="en-US"/>
        </w:rPr>
        <w:t xml:space="preserve"> One reusable bag, used often, beats an army of “eco” bags stuffed in a drawer. </w:t>
      </w:r>
    </w:p>
    <w:p w14:paraId="29872F9E" w14:textId="474C6422"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hAnsi="Arial" w:cs="Arial"/>
          <w:noProof/>
        </w:rPr>
        <w:lastRenderedPageBreak/>
        <w:drawing>
          <wp:inline distT="0" distB="0" distL="0" distR="0" wp14:anchorId="2A7CA59A" wp14:editId="60A79699">
            <wp:extent cx="2724150" cy="3629025"/>
            <wp:effectExtent l="0" t="0" r="0" b="0"/>
            <wp:docPr id="1714881105" name="drawing" title="BYOB bag | Dave O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881105" name="Picture 1714881105"/>
                    <pic:cNvPicPr/>
                  </pic:nvPicPr>
                  <pic:blipFill>
                    <a:blip r:embed="rId9">
                      <a:extLst>
                        <a:ext uri="{28A0092B-C50C-407E-A947-70E740481C1C}">
                          <a14:useLocalDpi xmlns:a14="http://schemas.microsoft.com/office/drawing/2010/main"/>
                        </a:ext>
                      </a:extLst>
                    </a:blip>
                    <a:stretch>
                      <a:fillRect/>
                    </a:stretch>
                  </pic:blipFill>
                  <pic:spPr>
                    <a:xfrm>
                      <a:off x="0" y="0"/>
                      <a:ext cx="2724150" cy="3629025"/>
                    </a:xfrm>
                    <a:prstGeom prst="rect">
                      <a:avLst/>
                    </a:prstGeom>
                  </pic:spPr>
                </pic:pic>
              </a:graphicData>
            </a:graphic>
          </wp:inline>
        </w:drawing>
      </w:r>
    </w:p>
    <w:p w14:paraId="0E9DF17C" w14:textId="6FBA593E" w:rsidR="14D6E49C" w:rsidRPr="00AB3FCC" w:rsidRDefault="25F5EDBB" w:rsidP="21CBE819">
      <w:pPr>
        <w:shd w:val="clear" w:color="auto" w:fill="FFFFFF" w:themeFill="background1"/>
        <w:spacing w:after="150" w:line="276" w:lineRule="auto"/>
        <w:jc w:val="both"/>
        <w:rPr>
          <w:rFonts w:ascii="Arial" w:hAnsi="Arial" w:cs="Arial"/>
          <w:sz w:val="20"/>
          <w:szCs w:val="20"/>
        </w:rPr>
      </w:pPr>
      <w:hyperlink r:id="rId10">
        <w:r w:rsidRPr="00AB3FCC">
          <w:rPr>
            <w:rStyle w:val="Hipervnculo"/>
            <w:rFonts w:ascii="Arial" w:eastAsia="Encode Sans" w:hAnsi="Arial" w:cs="Arial"/>
            <w:i/>
            <w:iCs/>
            <w:color w:val="028287"/>
            <w:sz w:val="20"/>
            <w:szCs w:val="20"/>
            <w:lang w:val="en-US"/>
          </w:rPr>
          <w:t xml:space="preserve">Photo </w:t>
        </w:r>
      </w:hyperlink>
      <w:r w:rsidRPr="00AB3FCC">
        <w:rPr>
          <w:rFonts w:ascii="Arial" w:eastAsia="Encode Sans" w:hAnsi="Arial" w:cs="Arial"/>
          <w:i/>
          <w:iCs/>
          <w:color w:val="333333"/>
          <w:sz w:val="20"/>
          <w:szCs w:val="20"/>
          <w:lang w:val="en-US"/>
        </w:rPr>
        <w:t>by Dave O (Flickr), licensed under CC BY-SA 2.0</w:t>
      </w:r>
    </w:p>
    <w:p w14:paraId="240735BC" w14:textId="42EB0551"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 </w:t>
      </w:r>
    </w:p>
    <w:p w14:paraId="5018B6D2" w14:textId="0B662EF1" w:rsidR="14D6E49C" w:rsidRPr="00AB3FCC" w:rsidRDefault="25F5EDBB" w:rsidP="21CBE819">
      <w:pPr>
        <w:pStyle w:val="Ttulo3"/>
        <w:shd w:val="clear" w:color="auto" w:fill="FFFFFF" w:themeFill="background1"/>
        <w:spacing w:before="0" w:after="150" w:line="276" w:lineRule="auto"/>
        <w:jc w:val="both"/>
        <w:rPr>
          <w:rFonts w:ascii="Arial" w:hAnsi="Arial" w:cs="Arial"/>
        </w:rPr>
      </w:pPr>
      <w:r w:rsidRPr="00AB3FCC">
        <w:rPr>
          <w:rFonts w:ascii="Arial" w:eastAsia="Helvetica" w:hAnsi="Arial" w:cs="Arial"/>
          <w:b/>
          <w:bCs/>
          <w:caps/>
          <w:color w:val="0A4149"/>
          <w:lang w:val="en-US"/>
        </w:rPr>
        <w:t xml:space="preserve">Coffee Cups and Takeaway Boxes </w:t>
      </w:r>
    </w:p>
    <w:p w14:paraId="6887AB9F" w14:textId="51DA684A"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Here’s where reusables shine fast. A study for Zero Waste Europe found that a reusable </w:t>
      </w:r>
      <w:r w:rsidRPr="00AB3FCC">
        <w:rPr>
          <w:rFonts w:ascii="Arial" w:eastAsia="Encode Sans" w:hAnsi="Arial" w:cs="Arial"/>
          <w:b/>
          <w:bCs/>
          <w:color w:val="333333"/>
          <w:lang w:val="en-US"/>
        </w:rPr>
        <w:t>plastic coffee cup beats disposables after just 6 uses</w:t>
      </w:r>
      <w:r w:rsidRPr="00AB3FCC">
        <w:rPr>
          <w:rFonts w:ascii="Arial" w:eastAsia="Encode Sans" w:hAnsi="Arial" w:cs="Arial"/>
          <w:color w:val="333333"/>
          <w:lang w:val="en-US"/>
        </w:rPr>
        <w:t xml:space="preserve">. That’s one week of morning lattes. For takeaway food containers, it’s around </w:t>
      </w:r>
      <w:r w:rsidRPr="00AB3FCC">
        <w:rPr>
          <w:rFonts w:ascii="Arial" w:eastAsia="Encode Sans" w:hAnsi="Arial" w:cs="Arial"/>
          <w:b/>
          <w:bCs/>
          <w:color w:val="333333"/>
          <w:lang w:val="en-US"/>
        </w:rPr>
        <w:t>13 uses</w:t>
      </w:r>
      <w:r w:rsidRPr="00AB3FCC">
        <w:rPr>
          <w:rFonts w:ascii="Arial" w:eastAsia="Encode Sans" w:hAnsi="Arial" w:cs="Arial"/>
          <w:color w:val="333333"/>
          <w:lang w:val="en-US"/>
        </w:rPr>
        <w:t xml:space="preserve"> (</w:t>
      </w:r>
      <w:hyperlink r:id="rId11">
        <w:r w:rsidRPr="00AB3FCC">
          <w:rPr>
            <w:rStyle w:val="Hipervnculo"/>
            <w:rFonts w:ascii="Arial" w:eastAsia="Encode Sans" w:hAnsi="Arial" w:cs="Arial"/>
            <w:color w:val="028287"/>
            <w:lang w:val="en-US"/>
          </w:rPr>
          <w:t>Zero Waste Europe, 2023</w:t>
        </w:r>
      </w:hyperlink>
      <w:r w:rsidRPr="00AB3FCC">
        <w:rPr>
          <w:rFonts w:ascii="Arial" w:eastAsia="Encode Sans" w:hAnsi="Arial" w:cs="Arial"/>
          <w:color w:val="333333"/>
          <w:lang w:val="en-US"/>
        </w:rPr>
        <w:t xml:space="preserve">). </w:t>
      </w:r>
    </w:p>
    <w:p w14:paraId="3ECD52A5" w14:textId="77626BE4"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Think of it like this: if you grab lunch at work twice a week, your reusable container already outperforms disposables in little more than a month. After that, every single meal packed in it is a clear win for the planet. And the truth is, most of us stick to the same cup or container once we find one we like— so hitting those numbers happens quicker than you’d expect. Even better, you save yourself from the sad experience of flimsy lids and soggy cardboard. </w:t>
      </w:r>
    </w:p>
    <w:p w14:paraId="6F3A66DF" w14:textId="60EC94AC"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 </w:t>
      </w:r>
    </w:p>
    <w:p w14:paraId="05B73735" w14:textId="29A32D2D"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hAnsi="Arial" w:cs="Arial"/>
          <w:noProof/>
        </w:rPr>
        <w:lastRenderedPageBreak/>
        <w:drawing>
          <wp:inline distT="0" distB="0" distL="0" distR="0" wp14:anchorId="348A1DC9" wp14:editId="632389B3">
            <wp:extent cx="3171825" cy="3171825"/>
            <wp:effectExtent l="0" t="0" r="0" b="0"/>
            <wp:docPr id="1878437626" name="drawing" title="Smiley Face Bento Box, Bento Lunch Box, Reusable Food Container, Compartment Lunchbox One size (7.7&quot; x 4.8&quot; x 3&quot;) sold by Bea Shimmering | SKU 164745454 | Printer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37626" name="Picture 1878437626"/>
                    <pic:cNvPicPr/>
                  </pic:nvPicPr>
                  <pic:blipFill>
                    <a:blip r:embed="rId12">
                      <a:extLst>
                        <a:ext uri="{28A0092B-C50C-407E-A947-70E740481C1C}">
                          <a14:useLocalDpi xmlns:a14="http://schemas.microsoft.com/office/drawing/2010/main"/>
                        </a:ext>
                      </a:extLst>
                    </a:blip>
                    <a:stretch>
                      <a:fillRect/>
                    </a:stretch>
                  </pic:blipFill>
                  <pic:spPr>
                    <a:xfrm>
                      <a:off x="0" y="0"/>
                      <a:ext cx="3171825" cy="3171825"/>
                    </a:xfrm>
                    <a:prstGeom prst="rect">
                      <a:avLst/>
                    </a:prstGeom>
                  </pic:spPr>
                </pic:pic>
              </a:graphicData>
            </a:graphic>
          </wp:inline>
        </w:drawing>
      </w:r>
    </w:p>
    <w:p w14:paraId="166416BF" w14:textId="0F7E4BAE" w:rsidR="14D6E49C" w:rsidRPr="00AB3FCC" w:rsidRDefault="25F5EDBB" w:rsidP="21CBE819">
      <w:pPr>
        <w:shd w:val="clear" w:color="auto" w:fill="FFFFFF" w:themeFill="background1"/>
        <w:spacing w:after="150" w:line="276" w:lineRule="auto"/>
        <w:jc w:val="both"/>
        <w:rPr>
          <w:rFonts w:ascii="Arial" w:hAnsi="Arial" w:cs="Arial"/>
          <w:sz w:val="20"/>
          <w:szCs w:val="20"/>
        </w:rPr>
      </w:pPr>
      <w:hyperlink r:id="rId13">
        <w:r w:rsidRPr="00AB3FCC">
          <w:rPr>
            <w:rStyle w:val="Hipervnculo"/>
            <w:rFonts w:ascii="Arial" w:eastAsia="Encode Sans" w:hAnsi="Arial" w:cs="Arial"/>
            <w:i/>
            <w:iCs/>
            <w:color w:val="028287"/>
            <w:sz w:val="20"/>
            <w:szCs w:val="20"/>
            <w:lang w:val="en-US"/>
          </w:rPr>
          <w:t xml:space="preserve">Photo </w:t>
        </w:r>
      </w:hyperlink>
      <w:r w:rsidRPr="00AB3FCC">
        <w:rPr>
          <w:rFonts w:ascii="Arial" w:eastAsia="Encode Sans" w:hAnsi="Arial" w:cs="Arial"/>
          <w:i/>
          <w:iCs/>
          <w:color w:val="333333"/>
          <w:sz w:val="20"/>
          <w:szCs w:val="20"/>
          <w:lang w:val="en-US"/>
        </w:rPr>
        <w:t>by Pinterval, licensed under CC BY-NC 4.0</w:t>
      </w:r>
    </w:p>
    <w:p w14:paraId="75DF1065" w14:textId="65995FC8"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 </w:t>
      </w:r>
    </w:p>
    <w:p w14:paraId="1DC8BB15" w14:textId="0635A2C7" w:rsidR="14D6E49C" w:rsidRPr="00AB3FCC" w:rsidRDefault="25F5EDBB" w:rsidP="21CBE819">
      <w:pPr>
        <w:pStyle w:val="Ttulo3"/>
        <w:shd w:val="clear" w:color="auto" w:fill="FFFFFF" w:themeFill="background1"/>
        <w:spacing w:before="0" w:after="150" w:line="276" w:lineRule="auto"/>
        <w:jc w:val="both"/>
        <w:rPr>
          <w:rFonts w:ascii="Arial" w:hAnsi="Arial" w:cs="Arial"/>
          <w:sz w:val="24"/>
          <w:szCs w:val="24"/>
        </w:rPr>
      </w:pPr>
      <w:r w:rsidRPr="00AB3FCC">
        <w:rPr>
          <w:rFonts w:ascii="Arial" w:eastAsia="Helvetica" w:hAnsi="Arial" w:cs="Arial"/>
          <w:b/>
          <w:bCs/>
          <w:caps/>
          <w:color w:val="0A4149"/>
          <w:lang w:val="en-US"/>
        </w:rPr>
        <w:t xml:space="preserve">Water Bottles: The Easiest Win </w:t>
      </w:r>
    </w:p>
    <w:p w14:paraId="0951EC3C" w14:textId="21096AC4"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Here’s the simplest swap of all: bottled water versus tap water in a reusable bottle. According to </w:t>
      </w:r>
      <w:proofErr w:type="gramStart"/>
      <w:r w:rsidRPr="00AB3FCC">
        <w:rPr>
          <w:rFonts w:ascii="Arial" w:eastAsia="Encode Sans" w:hAnsi="Arial" w:cs="Arial"/>
          <w:color w:val="333333"/>
          <w:lang w:val="en-US"/>
        </w:rPr>
        <w:t>the ISGlobal</w:t>
      </w:r>
      <w:proofErr w:type="gramEnd"/>
      <w:r w:rsidRPr="00AB3FCC">
        <w:rPr>
          <w:rFonts w:ascii="Arial" w:eastAsia="Encode Sans" w:hAnsi="Arial" w:cs="Arial"/>
          <w:color w:val="333333"/>
          <w:lang w:val="en-US"/>
        </w:rPr>
        <w:t xml:space="preserve">, bottled water can have up to </w:t>
      </w:r>
      <w:r w:rsidRPr="00AB3FCC">
        <w:rPr>
          <w:rFonts w:ascii="Arial" w:eastAsia="Encode Sans" w:hAnsi="Arial" w:cs="Arial"/>
          <w:b/>
          <w:bCs/>
          <w:color w:val="333333"/>
          <w:lang w:val="en-US"/>
        </w:rPr>
        <w:t xml:space="preserve">3,500 times </w:t>
      </w:r>
      <w:proofErr w:type="gramStart"/>
      <w:r w:rsidRPr="00AB3FCC">
        <w:rPr>
          <w:rFonts w:ascii="Arial" w:eastAsia="Encode Sans" w:hAnsi="Arial" w:cs="Arial"/>
          <w:b/>
          <w:bCs/>
          <w:color w:val="333333"/>
          <w:lang w:val="en-US"/>
        </w:rPr>
        <w:t>the climate</w:t>
      </w:r>
      <w:proofErr w:type="gramEnd"/>
      <w:r w:rsidRPr="00AB3FCC">
        <w:rPr>
          <w:rFonts w:ascii="Arial" w:eastAsia="Encode Sans" w:hAnsi="Arial" w:cs="Arial"/>
          <w:b/>
          <w:bCs/>
          <w:color w:val="333333"/>
          <w:lang w:val="en-US"/>
        </w:rPr>
        <w:t xml:space="preserve"> impact</w:t>
      </w:r>
      <w:r w:rsidRPr="00AB3FCC">
        <w:rPr>
          <w:rFonts w:ascii="Arial" w:eastAsia="Encode Sans" w:hAnsi="Arial" w:cs="Arial"/>
          <w:color w:val="333333"/>
          <w:lang w:val="en-US"/>
        </w:rPr>
        <w:t xml:space="preserve"> of tap water (</w:t>
      </w:r>
      <w:hyperlink r:id="rId14">
        <w:r w:rsidRPr="00AB3FCC">
          <w:rPr>
            <w:rStyle w:val="Hipervnculo"/>
            <w:rFonts w:ascii="Arial" w:eastAsia="Encode Sans" w:hAnsi="Arial" w:cs="Arial"/>
            <w:color w:val="028287"/>
            <w:lang w:val="en-US"/>
          </w:rPr>
          <w:t>The Guardian, 2021</w:t>
        </w:r>
      </w:hyperlink>
      <w:r w:rsidRPr="00AB3FCC">
        <w:rPr>
          <w:rFonts w:ascii="Arial" w:eastAsia="Encode Sans" w:hAnsi="Arial" w:cs="Arial"/>
          <w:color w:val="333333"/>
          <w:lang w:val="en-US"/>
        </w:rPr>
        <w:t xml:space="preserve">). A sturdy stainless-steel bottle might need dozens of refills to pay back the production footprint—but if you’re drinking water daily, you’ll get there in no time. </w:t>
      </w:r>
    </w:p>
    <w:p w14:paraId="0BA7BC36" w14:textId="37AFA137"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Oh, and bonus: you save money. A reusable bottle can save you </w:t>
      </w:r>
      <w:r w:rsidRPr="00AB3FCC">
        <w:rPr>
          <w:rFonts w:ascii="Arial" w:eastAsia="Encode Sans" w:hAnsi="Arial" w:cs="Arial"/>
          <w:b/>
          <w:bCs/>
          <w:color w:val="333333"/>
          <w:lang w:val="en-US"/>
        </w:rPr>
        <w:t>hundreds of euros a year</w:t>
      </w:r>
      <w:r w:rsidRPr="00AB3FCC">
        <w:rPr>
          <w:rFonts w:ascii="Arial" w:eastAsia="Encode Sans" w:hAnsi="Arial" w:cs="Arial"/>
          <w:color w:val="333333"/>
          <w:lang w:val="en-US"/>
        </w:rPr>
        <w:t xml:space="preserve"> if you stop buying plastic bottles at €1-2 a pop. That’s not just a climate win, but a personal finance hack. </w:t>
      </w:r>
    </w:p>
    <w:p w14:paraId="1C489AA5" w14:textId="1B07B45D"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 </w:t>
      </w:r>
    </w:p>
    <w:p w14:paraId="36830F40" w14:textId="1F654B57" w:rsidR="14D6E49C" w:rsidRPr="00AB3FCC" w:rsidRDefault="25F5EDBB" w:rsidP="21CBE819">
      <w:pPr>
        <w:pStyle w:val="Ttulo3"/>
        <w:shd w:val="clear" w:color="auto" w:fill="FFFFFF" w:themeFill="background1"/>
        <w:spacing w:before="0" w:after="150" w:line="276" w:lineRule="auto"/>
        <w:jc w:val="both"/>
        <w:rPr>
          <w:rFonts w:ascii="Arial" w:hAnsi="Arial" w:cs="Arial"/>
        </w:rPr>
      </w:pPr>
      <w:r w:rsidRPr="00AB3FCC">
        <w:rPr>
          <w:rFonts w:ascii="Arial" w:eastAsia="Helvetica" w:hAnsi="Arial" w:cs="Arial"/>
          <w:b/>
          <w:bCs/>
          <w:caps/>
          <w:color w:val="0A4149"/>
          <w:lang w:val="en-US"/>
        </w:rPr>
        <w:t xml:space="preserve">Deposit-Return Bottles </w:t>
      </w:r>
    </w:p>
    <w:p w14:paraId="06BF16E6" w14:textId="352B3C7A" w:rsidR="14D6E49C" w:rsidRPr="00AB3FCC" w:rsidRDefault="25F5EDBB" w:rsidP="21CBE819">
      <w:pPr>
        <w:shd w:val="clear" w:color="auto" w:fill="FFFFFF" w:themeFill="background1"/>
        <w:spacing w:after="150" w:line="276" w:lineRule="auto"/>
        <w:jc w:val="both"/>
        <w:rPr>
          <w:rFonts w:ascii="Arial" w:eastAsia="Encode Sans" w:hAnsi="Arial" w:cs="Arial"/>
          <w:color w:val="333333"/>
          <w:lang w:val="en-US"/>
        </w:rPr>
      </w:pPr>
      <w:r w:rsidRPr="00AB3FCC">
        <w:rPr>
          <w:rFonts w:ascii="Arial" w:eastAsia="Encode Sans" w:hAnsi="Arial" w:cs="Arial"/>
          <w:color w:val="333333"/>
          <w:lang w:val="en-US"/>
        </w:rPr>
        <w:t xml:space="preserve">Where deposit-return systems exist (like in Germany or soon across much of the EU), reusables are a no-brainer. </w:t>
      </w:r>
      <w:r w:rsidRPr="00AB3FCC">
        <w:rPr>
          <w:rFonts w:ascii="Arial" w:eastAsia="Encode Sans" w:hAnsi="Arial" w:cs="Arial"/>
          <w:b/>
          <w:bCs/>
          <w:color w:val="333333"/>
          <w:lang w:val="en-US"/>
        </w:rPr>
        <w:t>Up to 90% of bottles are returned and reused</w:t>
      </w:r>
      <w:r w:rsidRPr="00AB3FCC">
        <w:rPr>
          <w:rFonts w:ascii="Arial" w:eastAsia="Encode Sans" w:hAnsi="Arial" w:cs="Arial"/>
          <w:color w:val="333333"/>
          <w:lang w:val="en-US"/>
        </w:rPr>
        <w:t xml:space="preserve"> (</w:t>
      </w:r>
      <w:hyperlink r:id="rId15">
        <w:r w:rsidRPr="00AB3FCC">
          <w:rPr>
            <w:rStyle w:val="Hipervnculo"/>
            <w:rFonts w:ascii="Arial" w:eastAsia="Encode Sans" w:hAnsi="Arial" w:cs="Arial"/>
            <w:color w:val="028287"/>
            <w:lang w:val="en-US"/>
          </w:rPr>
          <w:t>Reloop, 2024</w:t>
        </w:r>
      </w:hyperlink>
      <w:r w:rsidRPr="00AB3FCC">
        <w:rPr>
          <w:rFonts w:ascii="Arial" w:eastAsia="Encode Sans" w:hAnsi="Arial" w:cs="Arial"/>
          <w:color w:val="333333"/>
          <w:lang w:val="en-US"/>
        </w:rPr>
        <w:t xml:space="preserve">).  </w:t>
      </w:r>
    </w:p>
    <w:p w14:paraId="2BAF0885" w14:textId="11933E3F" w:rsidR="14D6E49C" w:rsidRPr="00AB3FCC" w:rsidRDefault="25F5EDBB" w:rsidP="21CBE819">
      <w:pPr>
        <w:shd w:val="clear" w:color="auto" w:fill="FFFFFF" w:themeFill="background1"/>
        <w:spacing w:after="150" w:line="276" w:lineRule="auto"/>
        <w:jc w:val="both"/>
        <w:rPr>
          <w:rFonts w:ascii="Arial" w:eastAsia="Encode Sans" w:hAnsi="Arial" w:cs="Arial"/>
          <w:color w:val="333333"/>
          <w:lang w:val="en-US"/>
        </w:rPr>
      </w:pPr>
      <w:r w:rsidRPr="00AB3FCC">
        <w:rPr>
          <w:rFonts w:ascii="Arial" w:eastAsia="Encode Sans" w:hAnsi="Arial" w:cs="Arial"/>
          <w:color w:val="333333"/>
          <w:lang w:val="en-US"/>
        </w:rPr>
        <w:t xml:space="preserve">It’s the simplest environmental hack: you get rewarded for doing the right thing, the bottle gets washed and reused, and nothing ends up in the trash. Once you try it, you can’t help but wonder why it isn’t the default everywhere.  </w:t>
      </w:r>
    </w:p>
    <w:p w14:paraId="749BE3CB" w14:textId="31DD0AF4"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 </w:t>
      </w:r>
    </w:p>
    <w:p w14:paraId="7920AF91" w14:textId="3AEA0F20" w:rsidR="14D6E49C" w:rsidRPr="00AB3FCC" w:rsidRDefault="25F5EDBB" w:rsidP="21CBE819">
      <w:pPr>
        <w:pStyle w:val="Ttulo3"/>
        <w:shd w:val="clear" w:color="auto" w:fill="FFFFFF" w:themeFill="background1"/>
        <w:spacing w:before="0" w:after="150" w:line="276" w:lineRule="auto"/>
        <w:jc w:val="both"/>
        <w:rPr>
          <w:rFonts w:ascii="Arial" w:hAnsi="Arial" w:cs="Arial"/>
        </w:rPr>
      </w:pPr>
      <w:r w:rsidRPr="00AB3FCC">
        <w:rPr>
          <w:rFonts w:ascii="Arial" w:eastAsia="Helvetica" w:hAnsi="Arial" w:cs="Arial"/>
          <w:b/>
          <w:bCs/>
          <w:caps/>
          <w:color w:val="0A4149"/>
          <w:lang w:val="en-US"/>
        </w:rPr>
        <w:lastRenderedPageBreak/>
        <w:t xml:space="preserve">Curiosities You Might Not Expect </w:t>
      </w:r>
    </w:p>
    <w:p w14:paraId="5D9C73C6" w14:textId="02F810F5" w:rsidR="14D6E49C" w:rsidRPr="00AB3FCC" w:rsidRDefault="25F5EDBB" w:rsidP="21CBE819">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AB3FCC">
        <w:rPr>
          <w:rFonts w:ascii="Arial" w:eastAsia="Encode Sans" w:hAnsi="Arial" w:cs="Arial"/>
          <w:b/>
          <w:bCs/>
          <w:color w:val="333333"/>
          <w:lang w:val="en-US"/>
        </w:rPr>
        <w:t>Reusable cutlery sets</w:t>
      </w:r>
      <w:r w:rsidRPr="00AB3FCC">
        <w:rPr>
          <w:rFonts w:ascii="Arial" w:eastAsia="Encode Sans" w:hAnsi="Arial" w:cs="Arial"/>
          <w:color w:val="333333"/>
          <w:lang w:val="en-US"/>
        </w:rPr>
        <w:t>: Forks made from reusable plastic or metal, outperform disposables after fewer than 12 uses (</w:t>
      </w:r>
      <w:hyperlink r:id="rId16">
        <w:r w:rsidRPr="00AB3FCC">
          <w:rPr>
            <w:rStyle w:val="Hipervnculo"/>
            <w:rFonts w:ascii="Arial" w:eastAsia="Encode Sans" w:hAnsi="Arial" w:cs="Arial"/>
            <w:color w:val="028287"/>
            <w:lang w:val="en-US"/>
          </w:rPr>
          <w:t>University of Michigan, 2021</w:t>
        </w:r>
      </w:hyperlink>
      <w:r w:rsidRPr="00AB3FCC">
        <w:rPr>
          <w:rFonts w:ascii="Arial" w:eastAsia="Encode Sans" w:hAnsi="Arial" w:cs="Arial"/>
          <w:color w:val="333333"/>
          <w:lang w:val="en-US"/>
        </w:rPr>
        <w:t xml:space="preserve">). In other words: whether you pack sturdy plastic, or that camping fork, just a dozen meals </w:t>
      </w:r>
      <w:proofErr w:type="gramStart"/>
      <w:r w:rsidRPr="00AB3FCC">
        <w:rPr>
          <w:rFonts w:ascii="Arial" w:eastAsia="Encode Sans" w:hAnsi="Arial" w:cs="Arial"/>
          <w:color w:val="333333"/>
          <w:lang w:val="en-US"/>
        </w:rPr>
        <w:t>is</w:t>
      </w:r>
      <w:proofErr w:type="gramEnd"/>
      <w:r w:rsidRPr="00AB3FCC">
        <w:rPr>
          <w:rFonts w:ascii="Arial" w:eastAsia="Encode Sans" w:hAnsi="Arial" w:cs="Arial"/>
          <w:color w:val="333333"/>
          <w:lang w:val="en-US"/>
        </w:rPr>
        <w:t xml:space="preserve"> enough to tip the balance. </w:t>
      </w:r>
    </w:p>
    <w:p w14:paraId="590CA4F6" w14:textId="7FF31B5F" w:rsidR="14D6E49C" w:rsidRPr="00AB3FCC" w:rsidRDefault="25F5EDBB" w:rsidP="21CBE819">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proofErr w:type="gramStart"/>
      <w:r w:rsidRPr="00AB3FCC">
        <w:rPr>
          <w:rFonts w:ascii="Arial" w:eastAsia="Encode Sans" w:hAnsi="Arial" w:cs="Arial"/>
          <w:b/>
          <w:bCs/>
          <w:color w:val="333333"/>
          <w:lang w:val="en-US"/>
        </w:rPr>
        <w:t>Cloth</w:t>
      </w:r>
      <w:proofErr w:type="gramEnd"/>
      <w:r w:rsidRPr="00AB3FCC">
        <w:rPr>
          <w:rFonts w:ascii="Arial" w:eastAsia="Encode Sans" w:hAnsi="Arial" w:cs="Arial"/>
          <w:b/>
          <w:bCs/>
          <w:color w:val="333333"/>
          <w:lang w:val="en-US"/>
        </w:rPr>
        <w:t xml:space="preserve"> napkins</w:t>
      </w:r>
      <w:r w:rsidRPr="00AB3FCC">
        <w:rPr>
          <w:rFonts w:ascii="Arial" w:eastAsia="Encode Sans" w:hAnsi="Arial" w:cs="Arial"/>
          <w:color w:val="333333"/>
          <w:lang w:val="en-US"/>
        </w:rPr>
        <w:t xml:space="preserve">: According to some LCAs, if you wash them efficiently, they beat paper napkins after just a few dinners. Also: they make your table look classy. </w:t>
      </w:r>
    </w:p>
    <w:p w14:paraId="3A1FAEF1" w14:textId="0A1611D4" w:rsidR="14D6E49C" w:rsidRDefault="25F5EDBB" w:rsidP="21CBE819">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AB3FCC">
        <w:rPr>
          <w:rFonts w:ascii="Arial" w:eastAsia="Encode Sans" w:hAnsi="Arial" w:cs="Arial"/>
          <w:b/>
          <w:bCs/>
          <w:color w:val="333333"/>
          <w:lang w:val="en-US"/>
        </w:rPr>
        <w:t>Reusable straws</w:t>
      </w:r>
      <w:r w:rsidRPr="00AB3FCC">
        <w:rPr>
          <w:rFonts w:ascii="Arial" w:eastAsia="Encode Sans" w:hAnsi="Arial" w:cs="Arial"/>
          <w:color w:val="333333"/>
          <w:lang w:val="en-US"/>
        </w:rPr>
        <w:t xml:space="preserve">: Stainless steel straws only need 37–63 uses to pay off their impact. </w:t>
      </w:r>
      <w:proofErr w:type="gramStart"/>
      <w:r w:rsidRPr="00AB3FCC">
        <w:rPr>
          <w:rFonts w:ascii="Arial" w:eastAsia="Encode Sans" w:hAnsi="Arial" w:cs="Arial"/>
          <w:color w:val="333333"/>
          <w:lang w:val="en-US"/>
        </w:rPr>
        <w:t>So</w:t>
      </w:r>
      <w:proofErr w:type="gramEnd"/>
      <w:r w:rsidRPr="00AB3FCC">
        <w:rPr>
          <w:rFonts w:ascii="Arial" w:eastAsia="Encode Sans" w:hAnsi="Arial" w:cs="Arial"/>
          <w:color w:val="333333"/>
          <w:lang w:val="en-US"/>
        </w:rPr>
        <w:t xml:space="preserve"> if you’ve got one, keep it in your bag and use it whenever you need it. (</w:t>
      </w:r>
      <w:hyperlink r:id="rId17" w:anchor="citeas">
        <w:r w:rsidRPr="00AB3FCC">
          <w:rPr>
            <w:rStyle w:val="Hipervnculo"/>
            <w:rFonts w:ascii="Arial" w:eastAsia="Encode Sans" w:hAnsi="Arial" w:cs="Arial"/>
            <w:color w:val="028287"/>
            <w:lang w:val="en-US"/>
          </w:rPr>
          <w:t>Chitaka et al., 2020</w:t>
        </w:r>
      </w:hyperlink>
      <w:r w:rsidRPr="00AB3FCC">
        <w:rPr>
          <w:rFonts w:ascii="Arial" w:eastAsia="Encode Sans" w:hAnsi="Arial" w:cs="Arial"/>
          <w:color w:val="333333"/>
          <w:lang w:val="en-US"/>
        </w:rPr>
        <w:t xml:space="preserve">). </w:t>
      </w:r>
    </w:p>
    <w:p w14:paraId="2A1D201E" w14:textId="77777777" w:rsidR="00AB3FCC" w:rsidRPr="00AB3FCC" w:rsidRDefault="00AB3FCC" w:rsidP="00AB3FCC">
      <w:pPr>
        <w:pStyle w:val="Prrafodelista"/>
        <w:shd w:val="clear" w:color="auto" w:fill="FFFFFF" w:themeFill="background1"/>
        <w:spacing w:after="0" w:line="276" w:lineRule="auto"/>
        <w:ind w:left="300"/>
        <w:jc w:val="both"/>
        <w:rPr>
          <w:rFonts w:ascii="Arial" w:eastAsia="Encode Sans" w:hAnsi="Arial" w:cs="Arial"/>
          <w:color w:val="333333"/>
          <w:lang w:val="en-US"/>
        </w:rPr>
      </w:pPr>
    </w:p>
    <w:p w14:paraId="2FD416CD" w14:textId="4BC4FFCC" w:rsidR="14D6E49C" w:rsidRPr="00AB3FCC" w:rsidRDefault="25F5EDBB" w:rsidP="21CBE819">
      <w:pPr>
        <w:pStyle w:val="Ttulo3"/>
        <w:shd w:val="clear" w:color="auto" w:fill="FFFFFF" w:themeFill="background1"/>
        <w:spacing w:before="0" w:after="150" w:line="276" w:lineRule="auto"/>
        <w:jc w:val="both"/>
        <w:rPr>
          <w:rFonts w:ascii="Arial" w:hAnsi="Arial" w:cs="Arial"/>
        </w:rPr>
      </w:pPr>
      <w:r w:rsidRPr="00AB3FCC">
        <w:rPr>
          <w:rFonts w:ascii="Arial" w:eastAsia="Helvetica" w:hAnsi="Arial" w:cs="Arial"/>
          <w:b/>
          <w:bCs/>
          <w:caps/>
          <w:color w:val="0A4149"/>
          <w:lang w:val="en-US"/>
        </w:rPr>
        <w:t xml:space="preserve">A Final Reflection </w:t>
      </w:r>
    </w:p>
    <w:p w14:paraId="7F728BC8" w14:textId="07DDFCFF"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So, what is the conclusion? </w:t>
      </w:r>
      <w:r w:rsidRPr="00AB3FCC">
        <w:rPr>
          <w:rFonts w:ascii="Arial" w:eastAsia="Encode Sans" w:hAnsi="Arial" w:cs="Arial"/>
          <w:b/>
          <w:bCs/>
          <w:color w:val="333333"/>
          <w:lang w:val="en-US"/>
        </w:rPr>
        <w:t xml:space="preserve">Reusables aren’t a scam, </w:t>
      </w:r>
      <w:r w:rsidRPr="00AB3FCC">
        <w:rPr>
          <w:rFonts w:ascii="Arial" w:eastAsia="Encode Sans" w:hAnsi="Arial" w:cs="Arial"/>
          <w:color w:val="333333"/>
          <w:lang w:val="en-US"/>
        </w:rPr>
        <w:t xml:space="preserve">they’re simple math. </w:t>
      </w:r>
    </w:p>
    <w:p w14:paraId="69EEF016" w14:textId="55E16219"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That tote bag that’s been with you on countless grocery runs, or that bottle that follows you from the office to the gym and back again. Each one begins as a small habit, almost invisible on its own. But reuse after reuse, the </w:t>
      </w:r>
      <w:proofErr w:type="gramStart"/>
      <w:r w:rsidRPr="00AB3FCC">
        <w:rPr>
          <w:rFonts w:ascii="Arial" w:eastAsia="Encode Sans" w:hAnsi="Arial" w:cs="Arial"/>
          <w:color w:val="333333"/>
          <w:lang w:val="en-US"/>
        </w:rPr>
        <w:t>impact</w:t>
      </w:r>
      <w:proofErr w:type="gramEnd"/>
      <w:r w:rsidRPr="00AB3FCC">
        <w:rPr>
          <w:rFonts w:ascii="Arial" w:eastAsia="Encode Sans" w:hAnsi="Arial" w:cs="Arial"/>
          <w:color w:val="333333"/>
          <w:lang w:val="en-US"/>
        </w:rPr>
        <w:t xml:space="preserve"> snowballs. Unlike single-use items, which start and end in an instant, reusables gain value with every round. </w:t>
      </w:r>
      <w:r w:rsidRPr="00AB3FCC">
        <w:rPr>
          <w:rFonts w:ascii="Arial" w:eastAsia="Encode Sans" w:hAnsi="Arial" w:cs="Arial"/>
          <w:b/>
          <w:bCs/>
          <w:color w:val="333333"/>
          <w:lang w:val="en-US"/>
        </w:rPr>
        <w:t>The longer you keep them in play, the bigger the win</w:t>
      </w:r>
      <w:r w:rsidRPr="00AB3FCC">
        <w:rPr>
          <w:rFonts w:ascii="Arial" w:eastAsia="Encode Sans" w:hAnsi="Arial" w:cs="Arial"/>
          <w:color w:val="333333"/>
          <w:lang w:val="en-US"/>
        </w:rPr>
        <w:t>—for you, and for the planet.</w:t>
      </w:r>
    </w:p>
    <w:p w14:paraId="14FD036D" w14:textId="25B6C63D"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b/>
          <w:bCs/>
          <w:color w:val="333333"/>
          <w:lang w:val="en-US"/>
        </w:rPr>
        <w:t>But here’s the irony:</w:t>
      </w:r>
      <w:r w:rsidRPr="00AB3FCC">
        <w:rPr>
          <w:rFonts w:ascii="Arial" w:eastAsia="Encode Sans" w:hAnsi="Arial" w:cs="Arial"/>
          <w:color w:val="333333"/>
          <w:lang w:val="en-US"/>
        </w:rPr>
        <w:t xml:space="preserve"> reusables are supposed to be the accessible, common-sense solution. Yet little by little, </w:t>
      </w:r>
      <w:r w:rsidRPr="00AB3FCC">
        <w:rPr>
          <w:rFonts w:ascii="Arial" w:eastAsia="Encode Sans" w:hAnsi="Arial" w:cs="Arial"/>
          <w:b/>
          <w:bCs/>
          <w:color w:val="333333"/>
          <w:lang w:val="en-US"/>
        </w:rPr>
        <w:t>they’re being turned into lifestyle accessories for the privileged few</w:t>
      </w:r>
      <w:r w:rsidRPr="00AB3FCC">
        <w:rPr>
          <w:rFonts w:ascii="Arial" w:eastAsia="Encode Sans" w:hAnsi="Arial" w:cs="Arial"/>
          <w:color w:val="333333"/>
          <w:lang w:val="en-US"/>
        </w:rPr>
        <w:t xml:space="preserve">. Walk through a trendy neighborhood and you’ll see the paradox in action: a cotton tote bought during a weekend in Paris, dangling from one arm; a €10 specialty latte in the other, served in a disposable cup lined with plastic; and inside the tote bag, a shiny €50 Stanley Cup that’s more a useless status symbol than a climate solution. This is where sustainability gets messy. </w:t>
      </w:r>
      <w:r w:rsidRPr="00AB3FCC">
        <w:rPr>
          <w:rFonts w:ascii="Arial" w:eastAsia="Encode Sans" w:hAnsi="Arial" w:cs="Arial"/>
          <w:b/>
          <w:bCs/>
          <w:color w:val="333333"/>
          <w:lang w:val="en-US"/>
        </w:rPr>
        <w:t>Because when reusable culture turns into consumer culture, we’re not breaking the system, we’re just repainting it green.</w:t>
      </w:r>
      <w:r w:rsidRPr="00AB3FCC">
        <w:rPr>
          <w:rFonts w:ascii="Arial" w:eastAsia="Encode Sans" w:hAnsi="Arial" w:cs="Arial"/>
          <w:color w:val="333333"/>
          <w:lang w:val="en-US"/>
        </w:rPr>
        <w:t xml:space="preserve"> </w:t>
      </w:r>
    </w:p>
    <w:p w14:paraId="55D07CD2" w14:textId="2D9BA217"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That is the opposite of what we need. </w:t>
      </w:r>
      <w:r w:rsidRPr="00AB3FCC">
        <w:rPr>
          <w:rFonts w:ascii="Arial" w:eastAsia="Encode Sans" w:hAnsi="Arial" w:cs="Arial"/>
          <w:b/>
          <w:bCs/>
          <w:color w:val="333333"/>
          <w:lang w:val="en-US"/>
        </w:rPr>
        <w:t>Being part of the solution cannot depend on how much you can afford to spend on “eco” products.</w:t>
      </w:r>
    </w:p>
    <w:p w14:paraId="2CF98FC5" w14:textId="5DD8DC64"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b/>
          <w:bCs/>
          <w:color w:val="333333"/>
          <w:lang w:val="en-US"/>
        </w:rPr>
        <w:t xml:space="preserve">A system where green choices are luxury choices will never fix the waste </w:t>
      </w:r>
      <w:proofErr w:type="gramStart"/>
      <w:r w:rsidRPr="00AB3FCC">
        <w:rPr>
          <w:rFonts w:ascii="Arial" w:eastAsia="Encode Sans" w:hAnsi="Arial" w:cs="Arial"/>
          <w:b/>
          <w:bCs/>
          <w:color w:val="333333"/>
          <w:lang w:val="en-US"/>
        </w:rPr>
        <w:t>crisis—</w:t>
      </w:r>
      <w:proofErr w:type="gramEnd"/>
      <w:r w:rsidRPr="00AB3FCC">
        <w:rPr>
          <w:rFonts w:ascii="Arial" w:eastAsia="Encode Sans" w:hAnsi="Arial" w:cs="Arial"/>
          <w:b/>
          <w:bCs/>
          <w:color w:val="333333"/>
          <w:lang w:val="en-US"/>
        </w:rPr>
        <w:t xml:space="preserve">it will only deepen inequalities. </w:t>
      </w:r>
    </w:p>
    <w:p w14:paraId="20B78940" w14:textId="66D6016B"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The truth is you don’t need an army of trendy gadgets to live sustainably. You only need one tote bag—and you use it until it falls apart. You don’t need a €50 stainless steel bottle —your old gym bottle, the one you’ve carried to football practice or camping trips for years, works perfectly. You don’t need bamboo cutlery that comes in a pouch with a hipster logo—your normal fork from the kitchen drawer does the job just fine. Reusables are powerful because they last, not because they look good on Instagram. </w:t>
      </w:r>
    </w:p>
    <w:p w14:paraId="3631DBA5" w14:textId="6BE4CE1A"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color w:val="333333"/>
          <w:lang w:val="en-US"/>
        </w:rPr>
        <w:t xml:space="preserve">It’s important not to confuse </w:t>
      </w:r>
      <w:r w:rsidRPr="00AB3FCC">
        <w:rPr>
          <w:rFonts w:ascii="Arial" w:eastAsia="Encode Sans" w:hAnsi="Arial" w:cs="Arial"/>
          <w:b/>
          <w:bCs/>
          <w:color w:val="333333"/>
          <w:lang w:val="en-US"/>
        </w:rPr>
        <w:t>sustainability with fashion</w:t>
      </w:r>
      <w:r w:rsidRPr="00AB3FCC">
        <w:rPr>
          <w:rFonts w:ascii="Arial" w:eastAsia="Encode Sans" w:hAnsi="Arial" w:cs="Arial"/>
          <w:color w:val="333333"/>
          <w:lang w:val="en-US"/>
        </w:rPr>
        <w:t xml:space="preserve">, because if we let that happen, the solution simply gets muddled by the same consumption patterns that </w:t>
      </w:r>
      <w:r w:rsidRPr="00AB3FCC">
        <w:rPr>
          <w:rFonts w:ascii="Arial" w:eastAsia="Encode Sans" w:hAnsi="Arial" w:cs="Arial"/>
          <w:color w:val="333333"/>
          <w:lang w:val="en-US"/>
        </w:rPr>
        <w:lastRenderedPageBreak/>
        <w:t>created the waste crisis in the first place—turning solutions into yet another business opportunity.</w:t>
      </w:r>
    </w:p>
    <w:p w14:paraId="048CFF1A" w14:textId="1C3F2849" w:rsidR="14D6E49C" w:rsidRPr="00AB3FCC" w:rsidRDefault="25F5EDBB" w:rsidP="21CBE819">
      <w:pPr>
        <w:shd w:val="clear" w:color="auto" w:fill="FFFFFF" w:themeFill="background1"/>
        <w:spacing w:after="150" w:line="276" w:lineRule="auto"/>
        <w:jc w:val="both"/>
        <w:rPr>
          <w:rFonts w:ascii="Arial" w:hAnsi="Arial" w:cs="Arial"/>
        </w:rPr>
      </w:pPr>
      <w:r w:rsidRPr="00AB3FCC">
        <w:rPr>
          <w:rFonts w:ascii="Arial" w:eastAsia="Encode Sans" w:hAnsi="Arial" w:cs="Arial"/>
          <w:b/>
          <w:bCs/>
          <w:color w:val="333333"/>
          <w:lang w:val="en-US"/>
        </w:rPr>
        <w:t>Real change is built on simplicity, durability, and access for everyone.</w:t>
      </w:r>
    </w:p>
    <w:p w14:paraId="03637573" w14:textId="1FEEE86C" w:rsidR="14D6E49C" w:rsidRPr="00AB3FCC" w:rsidRDefault="14D6E49C" w:rsidP="21CBE819">
      <w:pPr>
        <w:spacing w:before="240" w:after="240" w:line="276" w:lineRule="auto"/>
        <w:jc w:val="both"/>
        <w:rPr>
          <w:rFonts w:ascii="Arial" w:eastAsia="Aptos" w:hAnsi="Arial" w:cs="Arial"/>
          <w:lang w:val="en-US"/>
        </w:rPr>
      </w:pPr>
    </w:p>
    <w:sectPr w:rsidR="14D6E49C" w:rsidRPr="00AB3FC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8A8E"/>
    <w:multiLevelType w:val="hybridMultilevel"/>
    <w:tmpl w:val="C5A62E56"/>
    <w:lvl w:ilvl="0" w:tplc="02F84CEE">
      <w:start w:val="1"/>
      <w:numFmt w:val="bullet"/>
      <w:lvlText w:val=""/>
      <w:lvlJc w:val="left"/>
      <w:pPr>
        <w:ind w:left="720" w:hanging="360"/>
      </w:pPr>
      <w:rPr>
        <w:rFonts w:ascii="Symbol" w:hAnsi="Symbol" w:hint="default"/>
      </w:rPr>
    </w:lvl>
    <w:lvl w:ilvl="1" w:tplc="D0841334">
      <w:start w:val="1"/>
      <w:numFmt w:val="bullet"/>
      <w:lvlText w:val="o"/>
      <w:lvlJc w:val="left"/>
      <w:pPr>
        <w:ind w:left="1440" w:hanging="360"/>
      </w:pPr>
      <w:rPr>
        <w:rFonts w:ascii="Courier New" w:hAnsi="Courier New" w:hint="default"/>
      </w:rPr>
    </w:lvl>
    <w:lvl w:ilvl="2" w:tplc="2A7E8CF8">
      <w:start w:val="1"/>
      <w:numFmt w:val="bullet"/>
      <w:lvlText w:val=""/>
      <w:lvlJc w:val="left"/>
      <w:pPr>
        <w:ind w:left="2160" w:hanging="360"/>
      </w:pPr>
      <w:rPr>
        <w:rFonts w:ascii="Wingdings" w:hAnsi="Wingdings" w:hint="default"/>
      </w:rPr>
    </w:lvl>
    <w:lvl w:ilvl="3" w:tplc="827C66C0">
      <w:start w:val="1"/>
      <w:numFmt w:val="bullet"/>
      <w:lvlText w:val=""/>
      <w:lvlJc w:val="left"/>
      <w:pPr>
        <w:ind w:left="2880" w:hanging="360"/>
      </w:pPr>
      <w:rPr>
        <w:rFonts w:ascii="Symbol" w:hAnsi="Symbol" w:hint="default"/>
      </w:rPr>
    </w:lvl>
    <w:lvl w:ilvl="4" w:tplc="3128444E">
      <w:start w:val="1"/>
      <w:numFmt w:val="bullet"/>
      <w:lvlText w:val="o"/>
      <w:lvlJc w:val="left"/>
      <w:pPr>
        <w:ind w:left="3600" w:hanging="360"/>
      </w:pPr>
      <w:rPr>
        <w:rFonts w:ascii="Courier New" w:hAnsi="Courier New" w:hint="default"/>
      </w:rPr>
    </w:lvl>
    <w:lvl w:ilvl="5" w:tplc="FAC044EC">
      <w:start w:val="1"/>
      <w:numFmt w:val="bullet"/>
      <w:lvlText w:val=""/>
      <w:lvlJc w:val="left"/>
      <w:pPr>
        <w:ind w:left="4320" w:hanging="360"/>
      </w:pPr>
      <w:rPr>
        <w:rFonts w:ascii="Wingdings" w:hAnsi="Wingdings" w:hint="default"/>
      </w:rPr>
    </w:lvl>
    <w:lvl w:ilvl="6" w:tplc="A6E2B514">
      <w:start w:val="1"/>
      <w:numFmt w:val="bullet"/>
      <w:lvlText w:val=""/>
      <w:lvlJc w:val="left"/>
      <w:pPr>
        <w:ind w:left="5040" w:hanging="360"/>
      </w:pPr>
      <w:rPr>
        <w:rFonts w:ascii="Symbol" w:hAnsi="Symbol" w:hint="default"/>
      </w:rPr>
    </w:lvl>
    <w:lvl w:ilvl="7" w:tplc="594AD42A">
      <w:start w:val="1"/>
      <w:numFmt w:val="bullet"/>
      <w:lvlText w:val="o"/>
      <w:lvlJc w:val="left"/>
      <w:pPr>
        <w:ind w:left="5760" w:hanging="360"/>
      </w:pPr>
      <w:rPr>
        <w:rFonts w:ascii="Courier New" w:hAnsi="Courier New" w:hint="default"/>
      </w:rPr>
    </w:lvl>
    <w:lvl w:ilvl="8" w:tplc="0656957A">
      <w:start w:val="1"/>
      <w:numFmt w:val="bullet"/>
      <w:lvlText w:val=""/>
      <w:lvlJc w:val="left"/>
      <w:pPr>
        <w:ind w:left="6480" w:hanging="360"/>
      </w:pPr>
      <w:rPr>
        <w:rFonts w:ascii="Wingdings" w:hAnsi="Wingdings" w:hint="default"/>
      </w:rPr>
    </w:lvl>
  </w:abstractNum>
  <w:abstractNum w:abstractNumId="1" w15:restartNumberingAfterBreak="0">
    <w:nsid w:val="34E4E4AF"/>
    <w:multiLevelType w:val="hybridMultilevel"/>
    <w:tmpl w:val="77F806BE"/>
    <w:lvl w:ilvl="0" w:tplc="E18C4156">
      <w:start w:val="1"/>
      <w:numFmt w:val="bullet"/>
      <w:lvlText w:val=""/>
      <w:lvlJc w:val="left"/>
      <w:pPr>
        <w:ind w:left="720" w:hanging="360"/>
      </w:pPr>
      <w:rPr>
        <w:rFonts w:ascii="Symbol" w:hAnsi="Symbol" w:hint="default"/>
      </w:rPr>
    </w:lvl>
    <w:lvl w:ilvl="1" w:tplc="E25EC06C">
      <w:start w:val="1"/>
      <w:numFmt w:val="bullet"/>
      <w:lvlText w:val="o"/>
      <w:lvlJc w:val="left"/>
      <w:pPr>
        <w:ind w:left="1440" w:hanging="360"/>
      </w:pPr>
      <w:rPr>
        <w:rFonts w:ascii="Courier New" w:hAnsi="Courier New" w:hint="default"/>
      </w:rPr>
    </w:lvl>
    <w:lvl w:ilvl="2" w:tplc="79C64282">
      <w:start w:val="1"/>
      <w:numFmt w:val="bullet"/>
      <w:lvlText w:val=""/>
      <w:lvlJc w:val="left"/>
      <w:pPr>
        <w:ind w:left="2160" w:hanging="360"/>
      </w:pPr>
      <w:rPr>
        <w:rFonts w:ascii="Wingdings" w:hAnsi="Wingdings" w:hint="default"/>
      </w:rPr>
    </w:lvl>
    <w:lvl w:ilvl="3" w:tplc="DC3EE8E4">
      <w:start w:val="1"/>
      <w:numFmt w:val="bullet"/>
      <w:lvlText w:val=""/>
      <w:lvlJc w:val="left"/>
      <w:pPr>
        <w:ind w:left="2880" w:hanging="360"/>
      </w:pPr>
      <w:rPr>
        <w:rFonts w:ascii="Symbol" w:hAnsi="Symbol" w:hint="default"/>
      </w:rPr>
    </w:lvl>
    <w:lvl w:ilvl="4" w:tplc="FE22FF0E">
      <w:start w:val="1"/>
      <w:numFmt w:val="bullet"/>
      <w:lvlText w:val="o"/>
      <w:lvlJc w:val="left"/>
      <w:pPr>
        <w:ind w:left="3600" w:hanging="360"/>
      </w:pPr>
      <w:rPr>
        <w:rFonts w:ascii="Courier New" w:hAnsi="Courier New" w:hint="default"/>
      </w:rPr>
    </w:lvl>
    <w:lvl w:ilvl="5" w:tplc="3FAE5F3C">
      <w:start w:val="1"/>
      <w:numFmt w:val="bullet"/>
      <w:lvlText w:val=""/>
      <w:lvlJc w:val="left"/>
      <w:pPr>
        <w:ind w:left="4320" w:hanging="360"/>
      </w:pPr>
      <w:rPr>
        <w:rFonts w:ascii="Wingdings" w:hAnsi="Wingdings" w:hint="default"/>
      </w:rPr>
    </w:lvl>
    <w:lvl w:ilvl="6" w:tplc="F5CE6EF2">
      <w:start w:val="1"/>
      <w:numFmt w:val="bullet"/>
      <w:lvlText w:val=""/>
      <w:lvlJc w:val="left"/>
      <w:pPr>
        <w:ind w:left="5040" w:hanging="360"/>
      </w:pPr>
      <w:rPr>
        <w:rFonts w:ascii="Symbol" w:hAnsi="Symbol" w:hint="default"/>
      </w:rPr>
    </w:lvl>
    <w:lvl w:ilvl="7" w:tplc="9800CA14">
      <w:start w:val="1"/>
      <w:numFmt w:val="bullet"/>
      <w:lvlText w:val="o"/>
      <w:lvlJc w:val="left"/>
      <w:pPr>
        <w:ind w:left="5760" w:hanging="360"/>
      </w:pPr>
      <w:rPr>
        <w:rFonts w:ascii="Courier New" w:hAnsi="Courier New" w:hint="default"/>
      </w:rPr>
    </w:lvl>
    <w:lvl w:ilvl="8" w:tplc="EF9005D2">
      <w:start w:val="1"/>
      <w:numFmt w:val="bullet"/>
      <w:lvlText w:val=""/>
      <w:lvlJc w:val="left"/>
      <w:pPr>
        <w:ind w:left="6480" w:hanging="360"/>
      </w:pPr>
      <w:rPr>
        <w:rFonts w:ascii="Wingdings" w:hAnsi="Wingdings" w:hint="default"/>
      </w:rPr>
    </w:lvl>
  </w:abstractNum>
  <w:abstractNum w:abstractNumId="2" w15:restartNumberingAfterBreak="0">
    <w:nsid w:val="4439CB33"/>
    <w:multiLevelType w:val="hybridMultilevel"/>
    <w:tmpl w:val="EA88EA5A"/>
    <w:lvl w:ilvl="0" w:tplc="3A7C0D98">
      <w:start w:val="1"/>
      <w:numFmt w:val="bullet"/>
      <w:lvlText w:val=""/>
      <w:lvlJc w:val="left"/>
      <w:pPr>
        <w:ind w:left="720" w:hanging="360"/>
      </w:pPr>
      <w:rPr>
        <w:rFonts w:ascii="Symbol" w:hAnsi="Symbol" w:hint="default"/>
      </w:rPr>
    </w:lvl>
    <w:lvl w:ilvl="1" w:tplc="F3081796">
      <w:start w:val="1"/>
      <w:numFmt w:val="bullet"/>
      <w:lvlText w:val="o"/>
      <w:lvlJc w:val="left"/>
      <w:pPr>
        <w:ind w:left="1440" w:hanging="360"/>
      </w:pPr>
      <w:rPr>
        <w:rFonts w:ascii="Courier New" w:hAnsi="Courier New" w:hint="default"/>
      </w:rPr>
    </w:lvl>
    <w:lvl w:ilvl="2" w:tplc="1ACC75AE">
      <w:start w:val="1"/>
      <w:numFmt w:val="bullet"/>
      <w:lvlText w:val=""/>
      <w:lvlJc w:val="left"/>
      <w:pPr>
        <w:ind w:left="2160" w:hanging="360"/>
      </w:pPr>
      <w:rPr>
        <w:rFonts w:ascii="Wingdings" w:hAnsi="Wingdings" w:hint="default"/>
      </w:rPr>
    </w:lvl>
    <w:lvl w:ilvl="3" w:tplc="02F02F38">
      <w:start w:val="1"/>
      <w:numFmt w:val="bullet"/>
      <w:lvlText w:val=""/>
      <w:lvlJc w:val="left"/>
      <w:pPr>
        <w:ind w:left="2880" w:hanging="360"/>
      </w:pPr>
      <w:rPr>
        <w:rFonts w:ascii="Symbol" w:hAnsi="Symbol" w:hint="default"/>
      </w:rPr>
    </w:lvl>
    <w:lvl w:ilvl="4" w:tplc="F8AC78D4">
      <w:start w:val="1"/>
      <w:numFmt w:val="bullet"/>
      <w:lvlText w:val="o"/>
      <w:lvlJc w:val="left"/>
      <w:pPr>
        <w:ind w:left="3600" w:hanging="360"/>
      </w:pPr>
      <w:rPr>
        <w:rFonts w:ascii="Courier New" w:hAnsi="Courier New" w:hint="default"/>
      </w:rPr>
    </w:lvl>
    <w:lvl w:ilvl="5" w:tplc="BCD6E974">
      <w:start w:val="1"/>
      <w:numFmt w:val="bullet"/>
      <w:lvlText w:val=""/>
      <w:lvlJc w:val="left"/>
      <w:pPr>
        <w:ind w:left="4320" w:hanging="360"/>
      </w:pPr>
      <w:rPr>
        <w:rFonts w:ascii="Wingdings" w:hAnsi="Wingdings" w:hint="default"/>
      </w:rPr>
    </w:lvl>
    <w:lvl w:ilvl="6" w:tplc="CCD8278A">
      <w:start w:val="1"/>
      <w:numFmt w:val="bullet"/>
      <w:lvlText w:val=""/>
      <w:lvlJc w:val="left"/>
      <w:pPr>
        <w:ind w:left="5040" w:hanging="360"/>
      </w:pPr>
      <w:rPr>
        <w:rFonts w:ascii="Symbol" w:hAnsi="Symbol" w:hint="default"/>
      </w:rPr>
    </w:lvl>
    <w:lvl w:ilvl="7" w:tplc="1C0C3782">
      <w:start w:val="1"/>
      <w:numFmt w:val="bullet"/>
      <w:lvlText w:val="o"/>
      <w:lvlJc w:val="left"/>
      <w:pPr>
        <w:ind w:left="5760" w:hanging="360"/>
      </w:pPr>
      <w:rPr>
        <w:rFonts w:ascii="Courier New" w:hAnsi="Courier New" w:hint="default"/>
      </w:rPr>
    </w:lvl>
    <w:lvl w:ilvl="8" w:tplc="DE56484C">
      <w:start w:val="1"/>
      <w:numFmt w:val="bullet"/>
      <w:lvlText w:val=""/>
      <w:lvlJc w:val="left"/>
      <w:pPr>
        <w:ind w:left="6480" w:hanging="360"/>
      </w:pPr>
      <w:rPr>
        <w:rFonts w:ascii="Wingdings" w:hAnsi="Wingdings" w:hint="default"/>
      </w:rPr>
    </w:lvl>
  </w:abstractNum>
  <w:num w:numId="1" w16cid:durableId="302734210">
    <w:abstractNumId w:val="0"/>
  </w:num>
  <w:num w:numId="2" w16cid:durableId="2115201357">
    <w:abstractNumId w:val="2"/>
  </w:num>
  <w:num w:numId="3" w16cid:durableId="2084330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079CE9"/>
    <w:rsid w:val="00A646D5"/>
    <w:rsid w:val="00AB3FCC"/>
    <w:rsid w:val="0106D6DA"/>
    <w:rsid w:val="01BB189B"/>
    <w:rsid w:val="03D0226B"/>
    <w:rsid w:val="064E1163"/>
    <w:rsid w:val="07C41FF4"/>
    <w:rsid w:val="08124803"/>
    <w:rsid w:val="085F6BAE"/>
    <w:rsid w:val="08D6C85B"/>
    <w:rsid w:val="0A715E32"/>
    <w:rsid w:val="0AE615B5"/>
    <w:rsid w:val="0B0A36D6"/>
    <w:rsid w:val="0C6FFF7D"/>
    <w:rsid w:val="0D079CE9"/>
    <w:rsid w:val="0D99C56B"/>
    <w:rsid w:val="0F0B86C8"/>
    <w:rsid w:val="0F518DF1"/>
    <w:rsid w:val="12C40605"/>
    <w:rsid w:val="14D6E49C"/>
    <w:rsid w:val="15E36BDA"/>
    <w:rsid w:val="17CAE0D6"/>
    <w:rsid w:val="19A44C7C"/>
    <w:rsid w:val="1A7FF40F"/>
    <w:rsid w:val="1AEE7645"/>
    <w:rsid w:val="1C4D7275"/>
    <w:rsid w:val="1E060B2B"/>
    <w:rsid w:val="21704F83"/>
    <w:rsid w:val="21CBE819"/>
    <w:rsid w:val="22DE2E99"/>
    <w:rsid w:val="25F5EDBB"/>
    <w:rsid w:val="28D794D4"/>
    <w:rsid w:val="291F9959"/>
    <w:rsid w:val="2ADC4376"/>
    <w:rsid w:val="2BBB0971"/>
    <w:rsid w:val="2CD2FB1E"/>
    <w:rsid w:val="2DFD326C"/>
    <w:rsid w:val="2EDA14A0"/>
    <w:rsid w:val="3002C013"/>
    <w:rsid w:val="30C0BA4B"/>
    <w:rsid w:val="31DD1D60"/>
    <w:rsid w:val="3206EF36"/>
    <w:rsid w:val="32B32187"/>
    <w:rsid w:val="36D93ABD"/>
    <w:rsid w:val="3BF629D5"/>
    <w:rsid w:val="3CEB7F96"/>
    <w:rsid w:val="3E0EB232"/>
    <w:rsid w:val="3EFDA0B4"/>
    <w:rsid w:val="419F31AA"/>
    <w:rsid w:val="41E1CEF3"/>
    <w:rsid w:val="432C54E3"/>
    <w:rsid w:val="43D2CD3F"/>
    <w:rsid w:val="43F6AA52"/>
    <w:rsid w:val="4433D65E"/>
    <w:rsid w:val="449606FA"/>
    <w:rsid w:val="44CCA9F0"/>
    <w:rsid w:val="45B08A1F"/>
    <w:rsid w:val="48ED2E16"/>
    <w:rsid w:val="49A0A969"/>
    <w:rsid w:val="4A0E6659"/>
    <w:rsid w:val="4A87A0B1"/>
    <w:rsid w:val="4BA52E91"/>
    <w:rsid w:val="4C082927"/>
    <w:rsid w:val="4C36B904"/>
    <w:rsid w:val="4CCA66EE"/>
    <w:rsid w:val="4F8FDCE3"/>
    <w:rsid w:val="50422FE2"/>
    <w:rsid w:val="50E1A018"/>
    <w:rsid w:val="545B8471"/>
    <w:rsid w:val="548BF75B"/>
    <w:rsid w:val="56D2514D"/>
    <w:rsid w:val="5821B3C0"/>
    <w:rsid w:val="593A62F9"/>
    <w:rsid w:val="5B179443"/>
    <w:rsid w:val="5BB87E73"/>
    <w:rsid w:val="5BBF7D04"/>
    <w:rsid w:val="5BD8F678"/>
    <w:rsid w:val="5CD2EFC4"/>
    <w:rsid w:val="5D1362CC"/>
    <w:rsid w:val="5D8381A3"/>
    <w:rsid w:val="5F923D5F"/>
    <w:rsid w:val="629D3584"/>
    <w:rsid w:val="6314A997"/>
    <w:rsid w:val="63BFFCE1"/>
    <w:rsid w:val="63CE9A82"/>
    <w:rsid w:val="64729E9E"/>
    <w:rsid w:val="6560CADB"/>
    <w:rsid w:val="6624E990"/>
    <w:rsid w:val="670429A4"/>
    <w:rsid w:val="6AA814EB"/>
    <w:rsid w:val="6ABBB56D"/>
    <w:rsid w:val="6B175746"/>
    <w:rsid w:val="6BB8C5D3"/>
    <w:rsid w:val="7004472C"/>
    <w:rsid w:val="73B76A6E"/>
    <w:rsid w:val="74621A4E"/>
    <w:rsid w:val="771C52E2"/>
    <w:rsid w:val="78883126"/>
    <w:rsid w:val="790CF52E"/>
    <w:rsid w:val="7AF24578"/>
    <w:rsid w:val="7B44C7A9"/>
    <w:rsid w:val="7C88B7D5"/>
    <w:rsid w:val="7D35C7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79CE9"/>
  <w15:chartTrackingRefBased/>
  <w15:docId w15:val="{EEE01144-3F9E-40A2-AAD1-C7B94D275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uiPriority w:val="9"/>
    <w:unhideWhenUsed/>
    <w:qFormat/>
    <w:rsid w:val="14D6E4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14D6E49C"/>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14D6E49C"/>
    <w:rPr>
      <w:color w:val="467886"/>
      <w:u w:val="single"/>
    </w:rPr>
  </w:style>
  <w:style w:type="paragraph" w:styleId="Prrafodelista">
    <w:name w:val="List Paragraph"/>
    <w:basedOn w:val="Normal"/>
    <w:uiPriority w:val="34"/>
    <w:qFormat/>
    <w:rsid w:val="14D6E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media/5a7bff74ed915d01ba1ca7c7/scho0711buan-e-e.pdf" TargetMode="External"/><Relationship Id="rId13" Type="http://schemas.openxmlformats.org/officeDocument/2006/relationships/hyperlink" Target="https://cdn.printerval.com/unsafe/960x960/asset/11561d0c0b010b0c190c111b561b1715574c404d4f404a484a570a571114574c191b4a4e1d574d404e414e4e4d4c404b571114271e0d1414001e0d1414564d404e414e4e4d4c404b2749140e085612081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g"/><Relationship Id="rId17" Type="http://schemas.openxmlformats.org/officeDocument/2006/relationships/hyperlink" Target="https://link.springer.com/article/10.1007/s11367-020-01786-w?utm_source=chatgpt.com" TargetMode="External"/><Relationship Id="rId2" Type="http://schemas.openxmlformats.org/officeDocument/2006/relationships/customXml" Target="../customXml/item2.xml"/><Relationship Id="rId16" Type="http://schemas.openxmlformats.org/officeDocument/2006/relationships/hyperlink" Target="https://seas.umich.edu/news/reusable-always-best-comparing-environmental-impacts-reusable-vs-single-use-kitchenware?utm_source=chatgpt.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zerowasteeurope.eu/wp-content/uploads/2023/09/Assessing-the-Climate-Impact-Reusable-systems-vs.-Single-Use-Takeaway-Packaging-v-2.2.pdf?utm_source=chatgpt.com" TargetMode="External"/><Relationship Id="rId5" Type="http://schemas.openxmlformats.org/officeDocument/2006/relationships/styles" Target="styles.xml"/><Relationship Id="rId15" Type="http://schemas.openxmlformats.org/officeDocument/2006/relationships/hyperlink" Target="https://www.reloopplatform.org/wp-content/uploads/2024/06/RELOOP_Factsheet_Digital-DRS_2024.pdf" TargetMode="External"/><Relationship Id="rId10" Type="http://schemas.openxmlformats.org/officeDocument/2006/relationships/hyperlink" Target="https://live.staticflickr.com/2050/2202304454_b0be0e1828_b.jp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1.jpg"/><Relationship Id="rId14" Type="http://schemas.openxmlformats.org/officeDocument/2006/relationships/hyperlink" Target="https://www.theguardian.com/environment/2021/aug/05/environmental-impact-of-bottled-water-up-to-3500-times-greater-than-tap-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FA5F06-8701-40F6-9F61-90710BD2C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D1A1B8-EA64-4F47-A872-44C3825D652F}">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0139E183-A134-43C7-8641-B3E10A30B7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1222</Words>
  <Characters>6725</Characters>
  <Application>Microsoft Office Word</Application>
  <DocSecurity>0</DocSecurity>
  <Lines>56</Lines>
  <Paragraphs>15</Paragraphs>
  <ScaleCrop>false</ScaleCrop>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Cerdan</dc:creator>
  <cp:keywords/>
  <dc:description/>
  <cp:lastModifiedBy>Lidia Moscardó</cp:lastModifiedBy>
  <cp:revision>2</cp:revision>
  <dcterms:created xsi:type="dcterms:W3CDTF">2025-08-28T10:14:00Z</dcterms:created>
  <dcterms:modified xsi:type="dcterms:W3CDTF">2026-09-14T10:32:00Z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