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F700AF" w14:textId="3BC72E90" w:rsidR="369F34C4" w:rsidRPr="00825F0B" w:rsidRDefault="2C3CFE81" w:rsidP="21231925">
      <w:pPr>
        <w:pStyle w:val="Ttulo2"/>
        <w:shd w:val="clear" w:color="auto" w:fill="FFFFFF" w:themeFill="background1"/>
        <w:spacing w:before="0" w:after="150" w:line="276" w:lineRule="auto"/>
        <w:jc w:val="both"/>
        <w:rPr>
          <w:rFonts w:ascii="Arial" w:eastAsia="Helvetica" w:hAnsi="Arial" w:cs="Arial"/>
          <w:b/>
          <w:bCs/>
          <w:caps/>
          <w:color w:val="0A4149"/>
          <w:sz w:val="36"/>
          <w:szCs w:val="36"/>
        </w:rPr>
      </w:pPr>
      <w:r w:rsidRPr="00825F0B">
        <w:rPr>
          <w:rFonts w:ascii="Arial" w:eastAsia="Helvetica" w:hAnsi="Arial" w:cs="Arial"/>
          <w:b/>
          <w:bCs/>
          <w:caps/>
          <w:color w:val="0A4149"/>
          <w:sz w:val="36"/>
          <w:szCs w:val="36"/>
        </w:rPr>
        <w:t xml:space="preserve">Buying in bulk to minimize packaging: Encouraging eco-friendly shopping behaviors </w:t>
      </w:r>
    </w:p>
    <w:p w14:paraId="6E81E1BE" w14:textId="721C66DC" w:rsidR="369F34C4" w:rsidRPr="00825F0B" w:rsidRDefault="2C3CFE81" w:rsidP="21231925">
      <w:pPr>
        <w:shd w:val="clear" w:color="auto" w:fill="FFFFFF" w:themeFill="background1"/>
        <w:spacing w:after="150" w:line="276" w:lineRule="auto"/>
        <w:jc w:val="both"/>
        <w:rPr>
          <w:rFonts w:ascii="Arial" w:hAnsi="Arial" w:cs="Arial"/>
        </w:rPr>
      </w:pPr>
      <w:r w:rsidRPr="00825F0B">
        <w:rPr>
          <w:rFonts w:ascii="Arial" w:eastAsia="Encode Sans" w:hAnsi="Arial" w:cs="Arial"/>
          <w:i/>
          <w:iCs/>
          <w:color w:val="333333"/>
        </w:rPr>
        <w:t>Written by: Phil Rosenow</w:t>
      </w:r>
    </w:p>
    <w:p w14:paraId="1E555EC5" w14:textId="5B05B4F7" w:rsidR="369F34C4" w:rsidRPr="00825F0B" w:rsidRDefault="2C3CFE81" w:rsidP="21231925">
      <w:pPr>
        <w:shd w:val="clear" w:color="auto" w:fill="FFFFFF" w:themeFill="background1"/>
        <w:spacing w:after="150" w:line="276" w:lineRule="auto"/>
        <w:jc w:val="both"/>
        <w:rPr>
          <w:rFonts w:ascii="Arial" w:hAnsi="Arial" w:cs="Arial"/>
        </w:rPr>
      </w:pPr>
      <w:r w:rsidRPr="00825F0B">
        <w:rPr>
          <w:rFonts w:ascii="Arial" w:eastAsia="Encode Sans" w:hAnsi="Arial" w:cs="Arial"/>
          <w:color w:val="333333"/>
        </w:rPr>
        <w:t xml:space="preserve"> </w:t>
      </w:r>
    </w:p>
    <w:p w14:paraId="3C2BDEFC" w14:textId="299C74AA" w:rsidR="369F34C4" w:rsidRPr="00825F0B" w:rsidRDefault="2C3CFE81" w:rsidP="21231925">
      <w:pPr>
        <w:shd w:val="clear" w:color="auto" w:fill="FFFFFF" w:themeFill="background1"/>
        <w:spacing w:after="150" w:line="276" w:lineRule="auto"/>
        <w:jc w:val="both"/>
        <w:rPr>
          <w:rFonts w:ascii="Arial" w:hAnsi="Arial" w:cs="Arial"/>
        </w:rPr>
      </w:pPr>
      <w:r w:rsidRPr="00825F0B">
        <w:rPr>
          <w:rFonts w:ascii="Arial" w:eastAsia="Encode Sans" w:hAnsi="Arial" w:cs="Arial"/>
          <w:color w:val="333333"/>
        </w:rPr>
        <w:t xml:space="preserve">Between small sachets with single servings of sugar or cream and large containers with ingredients for cafeterias, food packaging comes in all different sizes. Even at the supermarket, we choose between single portions and family packs. This variety suits different lifestyles, of course, but how can buying in bulk be more eco-friendly? And what do we need to look out for? </w:t>
      </w:r>
    </w:p>
    <w:p w14:paraId="47C32348" w14:textId="78D08316" w:rsidR="369F34C4" w:rsidRPr="00825F0B" w:rsidRDefault="2C3CFE81" w:rsidP="21231925">
      <w:pPr>
        <w:shd w:val="clear" w:color="auto" w:fill="FFFFFF" w:themeFill="background1"/>
        <w:spacing w:after="150" w:line="276" w:lineRule="auto"/>
        <w:jc w:val="both"/>
        <w:rPr>
          <w:rFonts w:ascii="Arial" w:hAnsi="Arial" w:cs="Arial"/>
        </w:rPr>
      </w:pPr>
      <w:r w:rsidRPr="00825F0B">
        <w:rPr>
          <w:rFonts w:ascii="Arial" w:eastAsia="Encode Sans" w:hAnsi="Arial" w:cs="Arial"/>
          <w:color w:val="333333"/>
        </w:rPr>
        <w:t xml:space="preserve"> </w:t>
      </w:r>
    </w:p>
    <w:p w14:paraId="4DF68AC6" w14:textId="286E92B6" w:rsidR="369F34C4" w:rsidRPr="00825F0B" w:rsidRDefault="2C3CFE81" w:rsidP="21231925">
      <w:pPr>
        <w:pStyle w:val="Ttulo3"/>
        <w:shd w:val="clear" w:color="auto" w:fill="FFFFFF" w:themeFill="background1"/>
        <w:spacing w:before="0" w:after="150" w:line="276" w:lineRule="auto"/>
        <w:jc w:val="both"/>
        <w:rPr>
          <w:rFonts w:ascii="Arial" w:hAnsi="Arial" w:cs="Arial"/>
        </w:rPr>
      </w:pPr>
      <w:r w:rsidRPr="00825F0B">
        <w:rPr>
          <w:rFonts w:ascii="Arial" w:eastAsia="Helvetica" w:hAnsi="Arial" w:cs="Arial"/>
          <w:b/>
          <w:bCs/>
          <w:caps/>
          <w:color w:val="0A4149"/>
        </w:rPr>
        <w:t xml:space="preserve">Why buy in bulk? </w:t>
      </w:r>
    </w:p>
    <w:p w14:paraId="66DF36D9" w14:textId="41BD2E55" w:rsidR="369F34C4" w:rsidRPr="00825F0B" w:rsidRDefault="2C3CFE81" w:rsidP="21231925">
      <w:pPr>
        <w:shd w:val="clear" w:color="auto" w:fill="FFFFFF" w:themeFill="background1"/>
        <w:spacing w:after="150" w:line="276" w:lineRule="auto"/>
        <w:jc w:val="both"/>
        <w:rPr>
          <w:rFonts w:ascii="Arial" w:hAnsi="Arial" w:cs="Arial"/>
        </w:rPr>
      </w:pPr>
      <w:r w:rsidRPr="00825F0B">
        <w:rPr>
          <w:rFonts w:ascii="Arial" w:eastAsia="Encode Sans" w:hAnsi="Arial" w:cs="Arial"/>
          <w:color w:val="333333"/>
        </w:rPr>
        <w:t xml:space="preserve">Here’s the simple math: </w:t>
      </w:r>
      <w:r w:rsidRPr="00825F0B">
        <w:rPr>
          <w:rFonts w:ascii="Arial" w:eastAsia="Encode Sans" w:hAnsi="Arial" w:cs="Arial"/>
          <w:b/>
          <w:bCs/>
          <w:color w:val="333333"/>
        </w:rPr>
        <w:t xml:space="preserve">the bigger the package, the less packaging material is needed per unit of food.  </w:t>
      </w:r>
    </w:p>
    <w:p w14:paraId="01809B73" w14:textId="15F0F0D5" w:rsidR="369F34C4" w:rsidRPr="00825F0B" w:rsidRDefault="2C3CFE81" w:rsidP="21231925">
      <w:pPr>
        <w:shd w:val="clear" w:color="auto" w:fill="FFFFFF" w:themeFill="background1"/>
        <w:spacing w:after="150" w:line="276" w:lineRule="auto"/>
        <w:jc w:val="both"/>
        <w:rPr>
          <w:rFonts w:ascii="Arial" w:hAnsi="Arial" w:cs="Arial"/>
        </w:rPr>
      </w:pPr>
      <w:r w:rsidRPr="00825F0B">
        <w:rPr>
          <w:rFonts w:ascii="Arial" w:eastAsia="Encode Sans" w:hAnsi="Arial" w:cs="Arial"/>
          <w:color w:val="333333"/>
        </w:rPr>
        <w:t xml:space="preserve">Now, stay with me. Let us imagine a piece of packaging shaped like a cube. The surface of the cube corresponds to the amount of packaging material we need, the volume to the amount of product we can package.  </w:t>
      </w:r>
    </w:p>
    <w:p w14:paraId="72B82D06" w14:textId="76CB1D46" w:rsidR="369F34C4" w:rsidRPr="00825F0B" w:rsidRDefault="2C3CFE81" w:rsidP="21231925">
      <w:pPr>
        <w:shd w:val="clear" w:color="auto" w:fill="FFFFFF" w:themeFill="background1"/>
        <w:spacing w:after="150" w:line="276" w:lineRule="auto"/>
        <w:jc w:val="both"/>
        <w:rPr>
          <w:rFonts w:ascii="Arial" w:hAnsi="Arial" w:cs="Arial"/>
        </w:rPr>
      </w:pPr>
      <w:r w:rsidRPr="00825F0B">
        <w:rPr>
          <w:rFonts w:ascii="Arial" w:eastAsia="Encode Sans" w:hAnsi="Arial" w:cs="Arial"/>
          <w:color w:val="333333"/>
        </w:rPr>
        <w:t>The surface grows with the square of the length of the edge, the volume with the cube of the length (square-cube law). In other words,</w:t>
      </w:r>
      <w:r w:rsidRPr="00825F0B">
        <w:rPr>
          <w:rFonts w:ascii="Arial" w:eastAsia="Encode Sans" w:hAnsi="Arial" w:cs="Arial"/>
          <w:b/>
          <w:bCs/>
          <w:color w:val="333333"/>
        </w:rPr>
        <w:t xml:space="preserve"> if we double the length of the edges, we increase the surface four times and the volume eight times.</w:t>
      </w:r>
      <w:r w:rsidRPr="00825F0B">
        <w:rPr>
          <w:rFonts w:ascii="Arial" w:eastAsia="Encode Sans" w:hAnsi="Arial" w:cs="Arial"/>
          <w:color w:val="333333"/>
        </w:rPr>
        <w:t xml:space="preserve"> Thus, we need four times as much packaging material (perhaps a little more if we need to make it thicker) to package eight times as much product. So, a bigger packaging unit can hold more food than a smaller one, while using relatively less material. Or: we can get more food for less packaging.  </w:t>
      </w:r>
    </w:p>
    <w:p w14:paraId="642D05FF" w14:textId="2604C292" w:rsidR="369F34C4" w:rsidRPr="00825F0B" w:rsidRDefault="2C3CFE81" w:rsidP="21231925">
      <w:pPr>
        <w:shd w:val="clear" w:color="auto" w:fill="FFFFFF" w:themeFill="background1"/>
        <w:spacing w:after="150" w:line="276" w:lineRule="auto"/>
        <w:jc w:val="both"/>
        <w:rPr>
          <w:rFonts w:ascii="Arial" w:hAnsi="Arial" w:cs="Arial"/>
        </w:rPr>
      </w:pPr>
      <w:r w:rsidRPr="00825F0B">
        <w:rPr>
          <w:rFonts w:ascii="Arial" w:eastAsia="Encode Sans" w:hAnsi="Arial" w:cs="Arial"/>
          <w:color w:val="333333"/>
        </w:rPr>
        <w:t xml:space="preserve"> </w:t>
      </w:r>
    </w:p>
    <w:p w14:paraId="723CB833" w14:textId="5D38F325" w:rsidR="369F34C4" w:rsidRPr="00825F0B" w:rsidRDefault="2C3CFE81" w:rsidP="21231925">
      <w:pPr>
        <w:shd w:val="clear" w:color="auto" w:fill="FFFFFF" w:themeFill="background1"/>
        <w:spacing w:after="150" w:line="276" w:lineRule="auto"/>
        <w:jc w:val="both"/>
        <w:rPr>
          <w:rFonts w:ascii="Arial" w:hAnsi="Arial" w:cs="Arial"/>
        </w:rPr>
      </w:pPr>
      <w:r w:rsidRPr="00825F0B">
        <w:rPr>
          <w:rFonts w:ascii="Arial" w:hAnsi="Arial" w:cs="Arial"/>
          <w:noProof/>
        </w:rPr>
        <w:lastRenderedPageBreak/>
        <w:drawing>
          <wp:inline distT="0" distB="0" distL="0" distR="0" wp14:anchorId="0AF0A2D5" wp14:editId="70CA8F6B">
            <wp:extent cx="5181600" cy="3695700"/>
            <wp:effectExtent l="0" t="0" r="0" b="0"/>
            <wp:docPr id="14906941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069418" name="Picture 149069418"/>
                    <pic:cNvPicPr/>
                  </pic:nvPicPr>
                  <pic:blipFill>
                    <a:blip r:embed="rId8">
                      <a:extLst>
                        <a:ext uri="{28A0092B-C50C-407E-A947-70E740481C1C}">
                          <a14:useLocalDpi xmlns:a14="http://schemas.microsoft.com/office/drawing/2010/main"/>
                        </a:ext>
                      </a:extLst>
                    </a:blip>
                    <a:stretch>
                      <a:fillRect/>
                    </a:stretch>
                  </pic:blipFill>
                  <pic:spPr>
                    <a:xfrm>
                      <a:off x="0" y="0"/>
                      <a:ext cx="5181600" cy="3695700"/>
                    </a:xfrm>
                    <a:prstGeom prst="rect">
                      <a:avLst/>
                    </a:prstGeom>
                  </pic:spPr>
                </pic:pic>
              </a:graphicData>
            </a:graphic>
          </wp:inline>
        </w:drawing>
      </w:r>
    </w:p>
    <w:tbl>
      <w:tblPr>
        <w:tblStyle w:val="Tablaconcuadrcula"/>
        <w:tblW w:w="0" w:type="auto"/>
        <w:tblBorders>
          <w:bottom w:val="single" w:sz="6" w:space="0" w:color="auto"/>
        </w:tblBorders>
        <w:tblLook w:val="04A0" w:firstRow="1" w:lastRow="0" w:firstColumn="1" w:lastColumn="0" w:noHBand="0" w:noVBand="1"/>
      </w:tblPr>
      <w:tblGrid>
        <w:gridCol w:w="1719"/>
        <w:gridCol w:w="2256"/>
        <w:gridCol w:w="2747"/>
        <w:gridCol w:w="2294"/>
      </w:tblGrid>
      <w:tr w:rsidR="21231925" w:rsidRPr="00825F0B" w14:paraId="21FEF7DC" w14:textId="77777777" w:rsidTr="21231925">
        <w:trPr>
          <w:trHeight w:val="300"/>
        </w:trPr>
        <w:tc>
          <w:tcPr>
            <w:tcW w:w="1719" w:type="dxa"/>
            <w:tcBorders>
              <w:top w:val="single" w:sz="6" w:space="0" w:color="auto"/>
            </w:tcBorders>
            <w:tcMar>
              <w:top w:w="75" w:type="dxa"/>
              <w:left w:w="75" w:type="dxa"/>
              <w:bottom w:w="75" w:type="dxa"/>
              <w:right w:w="150" w:type="dxa"/>
            </w:tcMar>
            <w:vAlign w:val="center"/>
          </w:tcPr>
          <w:p w14:paraId="438AA217" w14:textId="21EA2FFF" w:rsidR="21231925" w:rsidRPr="00825F0B" w:rsidRDefault="21231925" w:rsidP="21231925">
            <w:pPr>
              <w:spacing w:line="276" w:lineRule="auto"/>
              <w:rPr>
                <w:rFonts w:ascii="Arial" w:hAnsi="Arial" w:cs="Arial"/>
                <w:sz w:val="20"/>
                <w:szCs w:val="20"/>
              </w:rPr>
            </w:pPr>
            <w:r w:rsidRPr="00825F0B">
              <w:rPr>
                <w:rFonts w:ascii="Arial" w:eastAsia="Encode Sans" w:hAnsi="Arial" w:cs="Arial"/>
                <w:color w:val="333333"/>
                <w:sz w:val="20"/>
                <w:szCs w:val="20"/>
              </w:rPr>
              <w:t xml:space="preserve">  </w:t>
            </w:r>
          </w:p>
        </w:tc>
        <w:tc>
          <w:tcPr>
            <w:tcW w:w="2256" w:type="dxa"/>
            <w:tcBorders>
              <w:top w:val="single" w:sz="6" w:space="0" w:color="auto"/>
            </w:tcBorders>
            <w:tcMar>
              <w:top w:w="75" w:type="dxa"/>
              <w:left w:w="75" w:type="dxa"/>
              <w:bottom w:w="75" w:type="dxa"/>
              <w:right w:w="150" w:type="dxa"/>
            </w:tcMar>
            <w:vAlign w:val="center"/>
          </w:tcPr>
          <w:p w14:paraId="32840E0D" w14:textId="66BF2F46" w:rsidR="21231925" w:rsidRPr="00825F0B" w:rsidRDefault="21231925" w:rsidP="21231925">
            <w:pPr>
              <w:spacing w:line="276" w:lineRule="auto"/>
              <w:rPr>
                <w:rFonts w:ascii="Arial" w:hAnsi="Arial" w:cs="Arial"/>
                <w:sz w:val="20"/>
                <w:szCs w:val="20"/>
              </w:rPr>
            </w:pPr>
            <w:r w:rsidRPr="00825F0B">
              <w:rPr>
                <w:rFonts w:ascii="Arial" w:eastAsia="Encode Sans" w:hAnsi="Arial" w:cs="Arial"/>
                <w:color w:val="333333"/>
                <w:sz w:val="20"/>
                <w:szCs w:val="20"/>
              </w:rPr>
              <w:t xml:space="preserve">Small cube </w:t>
            </w:r>
          </w:p>
        </w:tc>
        <w:tc>
          <w:tcPr>
            <w:tcW w:w="2747" w:type="dxa"/>
            <w:tcBorders>
              <w:top w:val="single" w:sz="6" w:space="0" w:color="auto"/>
            </w:tcBorders>
            <w:tcMar>
              <w:top w:w="75" w:type="dxa"/>
              <w:left w:w="75" w:type="dxa"/>
              <w:bottom w:w="75" w:type="dxa"/>
              <w:right w:w="150" w:type="dxa"/>
            </w:tcMar>
            <w:vAlign w:val="center"/>
          </w:tcPr>
          <w:p w14:paraId="054C6F86" w14:textId="6F7C7D29" w:rsidR="21231925" w:rsidRPr="00825F0B" w:rsidRDefault="21231925" w:rsidP="21231925">
            <w:pPr>
              <w:spacing w:line="276" w:lineRule="auto"/>
              <w:rPr>
                <w:rFonts w:ascii="Arial" w:hAnsi="Arial" w:cs="Arial"/>
                <w:sz w:val="20"/>
                <w:szCs w:val="20"/>
              </w:rPr>
            </w:pPr>
            <w:r w:rsidRPr="00825F0B">
              <w:rPr>
                <w:rFonts w:ascii="Arial" w:eastAsia="Encode Sans" w:hAnsi="Arial" w:cs="Arial"/>
                <w:color w:val="333333"/>
                <w:sz w:val="20"/>
                <w:szCs w:val="20"/>
              </w:rPr>
              <w:t xml:space="preserve">8 small cubes </w:t>
            </w:r>
          </w:p>
        </w:tc>
        <w:tc>
          <w:tcPr>
            <w:tcW w:w="2294" w:type="dxa"/>
            <w:tcBorders>
              <w:top w:val="single" w:sz="6" w:space="0" w:color="auto"/>
            </w:tcBorders>
            <w:tcMar>
              <w:top w:w="75" w:type="dxa"/>
              <w:left w:w="75" w:type="dxa"/>
              <w:bottom w:w="75" w:type="dxa"/>
              <w:right w:w="150" w:type="dxa"/>
            </w:tcMar>
            <w:vAlign w:val="center"/>
          </w:tcPr>
          <w:p w14:paraId="20FA0E41" w14:textId="050FF030" w:rsidR="21231925" w:rsidRPr="00825F0B" w:rsidRDefault="21231925" w:rsidP="21231925">
            <w:pPr>
              <w:spacing w:line="276" w:lineRule="auto"/>
              <w:rPr>
                <w:rFonts w:ascii="Arial" w:hAnsi="Arial" w:cs="Arial"/>
                <w:sz w:val="20"/>
                <w:szCs w:val="20"/>
              </w:rPr>
            </w:pPr>
            <w:r w:rsidRPr="00825F0B">
              <w:rPr>
                <w:rFonts w:ascii="Arial" w:eastAsia="Encode Sans" w:hAnsi="Arial" w:cs="Arial"/>
                <w:color w:val="333333"/>
                <w:sz w:val="20"/>
                <w:szCs w:val="20"/>
              </w:rPr>
              <w:t xml:space="preserve">Large cube </w:t>
            </w:r>
          </w:p>
        </w:tc>
      </w:tr>
      <w:tr w:rsidR="21231925" w:rsidRPr="00825F0B" w14:paraId="630E863B" w14:textId="77777777" w:rsidTr="21231925">
        <w:trPr>
          <w:trHeight w:val="300"/>
        </w:trPr>
        <w:tc>
          <w:tcPr>
            <w:tcW w:w="1719" w:type="dxa"/>
            <w:tcBorders>
              <w:top w:val="single" w:sz="6" w:space="0" w:color="auto"/>
            </w:tcBorders>
            <w:tcMar>
              <w:top w:w="75" w:type="dxa"/>
              <w:left w:w="75" w:type="dxa"/>
              <w:bottom w:w="75" w:type="dxa"/>
              <w:right w:w="150" w:type="dxa"/>
            </w:tcMar>
            <w:vAlign w:val="center"/>
          </w:tcPr>
          <w:p w14:paraId="68093F36" w14:textId="0C02CCA6" w:rsidR="21231925" w:rsidRPr="00825F0B" w:rsidRDefault="21231925" w:rsidP="21231925">
            <w:pPr>
              <w:spacing w:line="276" w:lineRule="auto"/>
              <w:rPr>
                <w:rFonts w:ascii="Arial" w:hAnsi="Arial" w:cs="Arial"/>
                <w:sz w:val="20"/>
                <w:szCs w:val="20"/>
              </w:rPr>
            </w:pPr>
            <w:r w:rsidRPr="00825F0B">
              <w:rPr>
                <w:rFonts w:ascii="Arial" w:eastAsia="Encode Sans" w:hAnsi="Arial" w:cs="Arial"/>
                <w:color w:val="333333"/>
                <w:sz w:val="20"/>
                <w:szCs w:val="20"/>
              </w:rPr>
              <w:t xml:space="preserve">Edge </w:t>
            </w:r>
          </w:p>
        </w:tc>
        <w:tc>
          <w:tcPr>
            <w:tcW w:w="2256" w:type="dxa"/>
            <w:tcBorders>
              <w:top w:val="single" w:sz="6" w:space="0" w:color="auto"/>
            </w:tcBorders>
            <w:tcMar>
              <w:top w:w="75" w:type="dxa"/>
              <w:left w:w="75" w:type="dxa"/>
              <w:bottom w:w="75" w:type="dxa"/>
              <w:right w:w="150" w:type="dxa"/>
            </w:tcMar>
            <w:vAlign w:val="center"/>
          </w:tcPr>
          <w:p w14:paraId="40277193" w14:textId="06FCF448" w:rsidR="21231925" w:rsidRPr="00825F0B" w:rsidRDefault="21231925" w:rsidP="21231925">
            <w:pPr>
              <w:spacing w:line="276" w:lineRule="auto"/>
              <w:rPr>
                <w:rFonts w:ascii="Arial" w:hAnsi="Arial" w:cs="Arial"/>
                <w:sz w:val="20"/>
                <w:szCs w:val="20"/>
              </w:rPr>
            </w:pPr>
            <w:r w:rsidRPr="00825F0B">
              <w:rPr>
                <w:rFonts w:ascii="Arial" w:eastAsia="Encode Sans" w:hAnsi="Arial" w:cs="Arial"/>
                <w:color w:val="333333"/>
                <w:sz w:val="20"/>
                <w:szCs w:val="20"/>
              </w:rPr>
              <w:t xml:space="preserve">1 cm </w:t>
            </w:r>
          </w:p>
        </w:tc>
        <w:tc>
          <w:tcPr>
            <w:tcW w:w="2747" w:type="dxa"/>
            <w:tcBorders>
              <w:top w:val="single" w:sz="6" w:space="0" w:color="auto"/>
            </w:tcBorders>
            <w:tcMar>
              <w:top w:w="75" w:type="dxa"/>
              <w:left w:w="75" w:type="dxa"/>
              <w:bottom w:w="75" w:type="dxa"/>
              <w:right w:w="150" w:type="dxa"/>
            </w:tcMar>
            <w:vAlign w:val="center"/>
          </w:tcPr>
          <w:p w14:paraId="06A5F967" w14:textId="334DB8A3" w:rsidR="21231925" w:rsidRPr="00825F0B" w:rsidRDefault="21231925" w:rsidP="21231925">
            <w:pPr>
              <w:spacing w:line="276" w:lineRule="auto"/>
              <w:rPr>
                <w:rFonts w:ascii="Arial" w:hAnsi="Arial" w:cs="Arial"/>
                <w:sz w:val="20"/>
                <w:szCs w:val="20"/>
              </w:rPr>
            </w:pPr>
            <w:r w:rsidRPr="00825F0B">
              <w:rPr>
                <w:rFonts w:ascii="Arial" w:eastAsia="Encode Sans" w:hAnsi="Arial" w:cs="Arial"/>
                <w:color w:val="333333"/>
                <w:sz w:val="20"/>
                <w:szCs w:val="20"/>
              </w:rPr>
              <w:t xml:space="preserve">  </w:t>
            </w:r>
          </w:p>
        </w:tc>
        <w:tc>
          <w:tcPr>
            <w:tcW w:w="2294" w:type="dxa"/>
            <w:tcBorders>
              <w:top w:val="single" w:sz="6" w:space="0" w:color="auto"/>
            </w:tcBorders>
            <w:tcMar>
              <w:top w:w="75" w:type="dxa"/>
              <w:left w:w="75" w:type="dxa"/>
              <w:bottom w:w="75" w:type="dxa"/>
              <w:right w:w="150" w:type="dxa"/>
            </w:tcMar>
            <w:vAlign w:val="center"/>
          </w:tcPr>
          <w:p w14:paraId="6CE0D6B8" w14:textId="552F3D2F" w:rsidR="21231925" w:rsidRPr="00825F0B" w:rsidRDefault="21231925" w:rsidP="21231925">
            <w:pPr>
              <w:spacing w:line="276" w:lineRule="auto"/>
              <w:rPr>
                <w:rFonts w:ascii="Arial" w:hAnsi="Arial" w:cs="Arial"/>
                <w:sz w:val="20"/>
                <w:szCs w:val="20"/>
              </w:rPr>
            </w:pPr>
            <w:r w:rsidRPr="00825F0B">
              <w:rPr>
                <w:rFonts w:ascii="Arial" w:eastAsia="Encode Sans" w:hAnsi="Arial" w:cs="Arial"/>
                <w:color w:val="333333"/>
                <w:sz w:val="20"/>
                <w:szCs w:val="20"/>
              </w:rPr>
              <w:t xml:space="preserve">2 cm </w:t>
            </w:r>
          </w:p>
        </w:tc>
      </w:tr>
      <w:tr w:rsidR="21231925" w:rsidRPr="00825F0B" w14:paraId="1B0745B4" w14:textId="77777777" w:rsidTr="21231925">
        <w:trPr>
          <w:trHeight w:val="300"/>
        </w:trPr>
        <w:tc>
          <w:tcPr>
            <w:tcW w:w="1719" w:type="dxa"/>
            <w:tcBorders>
              <w:top w:val="single" w:sz="6" w:space="0" w:color="auto"/>
            </w:tcBorders>
            <w:tcMar>
              <w:top w:w="75" w:type="dxa"/>
              <w:left w:w="75" w:type="dxa"/>
              <w:bottom w:w="75" w:type="dxa"/>
              <w:right w:w="150" w:type="dxa"/>
            </w:tcMar>
            <w:vAlign w:val="center"/>
          </w:tcPr>
          <w:p w14:paraId="2220A238" w14:textId="6A2E0F84" w:rsidR="21231925" w:rsidRPr="00825F0B" w:rsidRDefault="21231925" w:rsidP="21231925">
            <w:pPr>
              <w:spacing w:line="276" w:lineRule="auto"/>
              <w:rPr>
                <w:rFonts w:ascii="Arial" w:hAnsi="Arial" w:cs="Arial"/>
                <w:sz w:val="20"/>
                <w:szCs w:val="20"/>
              </w:rPr>
            </w:pPr>
            <w:r w:rsidRPr="00825F0B">
              <w:rPr>
                <w:rFonts w:ascii="Arial" w:eastAsia="Encode Sans" w:hAnsi="Arial" w:cs="Arial"/>
                <w:color w:val="333333"/>
                <w:sz w:val="20"/>
                <w:szCs w:val="20"/>
              </w:rPr>
              <w:t xml:space="preserve">Volume </w:t>
            </w:r>
          </w:p>
        </w:tc>
        <w:tc>
          <w:tcPr>
            <w:tcW w:w="2256" w:type="dxa"/>
            <w:tcBorders>
              <w:top w:val="single" w:sz="6" w:space="0" w:color="auto"/>
            </w:tcBorders>
            <w:tcMar>
              <w:top w:w="75" w:type="dxa"/>
              <w:left w:w="75" w:type="dxa"/>
              <w:bottom w:w="75" w:type="dxa"/>
              <w:right w:w="150" w:type="dxa"/>
            </w:tcMar>
            <w:vAlign w:val="center"/>
          </w:tcPr>
          <w:p w14:paraId="6499169C" w14:textId="1BDF4A91" w:rsidR="21231925" w:rsidRPr="00825F0B" w:rsidRDefault="21231925" w:rsidP="21231925">
            <w:pPr>
              <w:spacing w:line="276" w:lineRule="auto"/>
              <w:rPr>
                <w:rFonts w:ascii="Arial" w:hAnsi="Arial" w:cs="Arial"/>
                <w:sz w:val="20"/>
                <w:szCs w:val="20"/>
              </w:rPr>
            </w:pPr>
            <w:r w:rsidRPr="00825F0B">
              <w:rPr>
                <w:rFonts w:ascii="Arial" w:eastAsia="Encode Sans" w:hAnsi="Arial" w:cs="Arial"/>
                <w:color w:val="333333"/>
                <w:sz w:val="20"/>
                <w:szCs w:val="20"/>
              </w:rPr>
              <w:t xml:space="preserve">1 cm³ </w:t>
            </w:r>
          </w:p>
        </w:tc>
        <w:tc>
          <w:tcPr>
            <w:tcW w:w="2747" w:type="dxa"/>
            <w:tcBorders>
              <w:top w:val="single" w:sz="6" w:space="0" w:color="auto"/>
            </w:tcBorders>
            <w:tcMar>
              <w:top w:w="75" w:type="dxa"/>
              <w:left w:w="75" w:type="dxa"/>
              <w:bottom w:w="75" w:type="dxa"/>
              <w:right w:w="150" w:type="dxa"/>
            </w:tcMar>
            <w:vAlign w:val="center"/>
          </w:tcPr>
          <w:p w14:paraId="344A902F" w14:textId="0058F7F8" w:rsidR="21231925" w:rsidRPr="00825F0B" w:rsidRDefault="21231925" w:rsidP="21231925">
            <w:pPr>
              <w:spacing w:line="276" w:lineRule="auto"/>
              <w:rPr>
                <w:rFonts w:ascii="Arial" w:hAnsi="Arial" w:cs="Arial"/>
                <w:sz w:val="20"/>
                <w:szCs w:val="20"/>
              </w:rPr>
            </w:pPr>
            <w:r w:rsidRPr="00825F0B">
              <w:rPr>
                <w:rFonts w:ascii="Arial" w:eastAsia="Encode Sans" w:hAnsi="Arial" w:cs="Arial"/>
                <w:color w:val="333333"/>
                <w:sz w:val="20"/>
                <w:szCs w:val="20"/>
              </w:rPr>
              <w:t xml:space="preserve">8 cm³ </w:t>
            </w:r>
          </w:p>
        </w:tc>
        <w:tc>
          <w:tcPr>
            <w:tcW w:w="2294" w:type="dxa"/>
            <w:tcBorders>
              <w:top w:val="single" w:sz="6" w:space="0" w:color="auto"/>
            </w:tcBorders>
            <w:tcMar>
              <w:top w:w="75" w:type="dxa"/>
              <w:left w:w="75" w:type="dxa"/>
              <w:bottom w:w="75" w:type="dxa"/>
              <w:right w:w="150" w:type="dxa"/>
            </w:tcMar>
            <w:vAlign w:val="center"/>
          </w:tcPr>
          <w:p w14:paraId="654DF19A" w14:textId="0AFAE67F" w:rsidR="21231925" w:rsidRPr="00825F0B" w:rsidRDefault="21231925" w:rsidP="21231925">
            <w:pPr>
              <w:spacing w:line="276" w:lineRule="auto"/>
              <w:rPr>
                <w:rFonts w:ascii="Arial" w:hAnsi="Arial" w:cs="Arial"/>
                <w:sz w:val="20"/>
                <w:szCs w:val="20"/>
              </w:rPr>
            </w:pPr>
            <w:r w:rsidRPr="00825F0B">
              <w:rPr>
                <w:rFonts w:ascii="Arial" w:eastAsia="Encode Sans" w:hAnsi="Arial" w:cs="Arial"/>
                <w:color w:val="333333"/>
                <w:sz w:val="20"/>
                <w:szCs w:val="20"/>
              </w:rPr>
              <w:t xml:space="preserve">8 cm³ </w:t>
            </w:r>
          </w:p>
        </w:tc>
      </w:tr>
      <w:tr w:rsidR="21231925" w:rsidRPr="00825F0B" w14:paraId="7ED4336E" w14:textId="77777777" w:rsidTr="21231925">
        <w:trPr>
          <w:trHeight w:val="300"/>
        </w:trPr>
        <w:tc>
          <w:tcPr>
            <w:tcW w:w="1719" w:type="dxa"/>
            <w:tcBorders>
              <w:top w:val="single" w:sz="6" w:space="0" w:color="auto"/>
            </w:tcBorders>
            <w:tcMar>
              <w:top w:w="75" w:type="dxa"/>
              <w:left w:w="75" w:type="dxa"/>
              <w:bottom w:w="75" w:type="dxa"/>
              <w:right w:w="150" w:type="dxa"/>
            </w:tcMar>
            <w:vAlign w:val="center"/>
          </w:tcPr>
          <w:p w14:paraId="7703D1E3" w14:textId="2C1EF13E" w:rsidR="21231925" w:rsidRPr="00825F0B" w:rsidRDefault="21231925" w:rsidP="21231925">
            <w:pPr>
              <w:spacing w:line="276" w:lineRule="auto"/>
              <w:rPr>
                <w:rFonts w:ascii="Arial" w:hAnsi="Arial" w:cs="Arial"/>
                <w:sz w:val="20"/>
                <w:szCs w:val="20"/>
              </w:rPr>
            </w:pPr>
            <w:r w:rsidRPr="00825F0B">
              <w:rPr>
                <w:rFonts w:ascii="Arial" w:eastAsia="Encode Sans" w:hAnsi="Arial" w:cs="Arial"/>
                <w:color w:val="333333"/>
                <w:sz w:val="20"/>
                <w:szCs w:val="20"/>
              </w:rPr>
              <w:t xml:space="preserve">Surface </w:t>
            </w:r>
          </w:p>
        </w:tc>
        <w:tc>
          <w:tcPr>
            <w:tcW w:w="2256" w:type="dxa"/>
            <w:tcBorders>
              <w:top w:val="single" w:sz="6" w:space="0" w:color="auto"/>
            </w:tcBorders>
            <w:tcMar>
              <w:top w:w="75" w:type="dxa"/>
              <w:left w:w="75" w:type="dxa"/>
              <w:bottom w:w="75" w:type="dxa"/>
              <w:right w:w="150" w:type="dxa"/>
            </w:tcMar>
            <w:vAlign w:val="center"/>
          </w:tcPr>
          <w:p w14:paraId="70B32029" w14:textId="0F3CB22D" w:rsidR="21231925" w:rsidRPr="00825F0B" w:rsidRDefault="21231925" w:rsidP="21231925">
            <w:pPr>
              <w:spacing w:line="276" w:lineRule="auto"/>
              <w:rPr>
                <w:rFonts w:ascii="Arial" w:hAnsi="Arial" w:cs="Arial"/>
                <w:sz w:val="20"/>
                <w:szCs w:val="20"/>
              </w:rPr>
            </w:pPr>
            <w:r w:rsidRPr="00825F0B">
              <w:rPr>
                <w:rFonts w:ascii="Arial" w:eastAsia="Encode Sans" w:hAnsi="Arial" w:cs="Arial"/>
                <w:color w:val="333333"/>
                <w:sz w:val="20"/>
                <w:szCs w:val="20"/>
              </w:rPr>
              <w:t xml:space="preserve">6 cm² </w:t>
            </w:r>
          </w:p>
        </w:tc>
        <w:tc>
          <w:tcPr>
            <w:tcW w:w="2747" w:type="dxa"/>
            <w:tcBorders>
              <w:top w:val="single" w:sz="6" w:space="0" w:color="auto"/>
            </w:tcBorders>
            <w:tcMar>
              <w:top w:w="75" w:type="dxa"/>
              <w:left w:w="75" w:type="dxa"/>
              <w:bottom w:w="75" w:type="dxa"/>
              <w:right w:w="150" w:type="dxa"/>
            </w:tcMar>
            <w:vAlign w:val="center"/>
          </w:tcPr>
          <w:p w14:paraId="4BBB015D" w14:textId="2A678DB3" w:rsidR="21231925" w:rsidRPr="00825F0B" w:rsidRDefault="21231925" w:rsidP="21231925">
            <w:pPr>
              <w:spacing w:line="276" w:lineRule="auto"/>
              <w:rPr>
                <w:rFonts w:ascii="Arial" w:hAnsi="Arial" w:cs="Arial"/>
                <w:sz w:val="20"/>
                <w:szCs w:val="20"/>
              </w:rPr>
            </w:pPr>
            <w:r w:rsidRPr="00825F0B">
              <w:rPr>
                <w:rFonts w:ascii="Arial" w:eastAsia="Encode Sans" w:hAnsi="Arial" w:cs="Arial"/>
                <w:color w:val="333333"/>
                <w:sz w:val="20"/>
                <w:szCs w:val="20"/>
              </w:rPr>
              <w:t xml:space="preserve">48 cm² </w:t>
            </w:r>
          </w:p>
        </w:tc>
        <w:tc>
          <w:tcPr>
            <w:tcW w:w="2294" w:type="dxa"/>
            <w:tcBorders>
              <w:top w:val="single" w:sz="6" w:space="0" w:color="auto"/>
            </w:tcBorders>
            <w:tcMar>
              <w:top w:w="75" w:type="dxa"/>
              <w:left w:w="75" w:type="dxa"/>
              <w:bottom w:w="75" w:type="dxa"/>
              <w:right w:w="150" w:type="dxa"/>
            </w:tcMar>
            <w:vAlign w:val="center"/>
          </w:tcPr>
          <w:p w14:paraId="6D44D943" w14:textId="7D96B2A1" w:rsidR="21231925" w:rsidRPr="00825F0B" w:rsidRDefault="21231925" w:rsidP="21231925">
            <w:pPr>
              <w:spacing w:line="276" w:lineRule="auto"/>
              <w:rPr>
                <w:rFonts w:ascii="Arial" w:hAnsi="Arial" w:cs="Arial"/>
                <w:sz w:val="20"/>
                <w:szCs w:val="20"/>
              </w:rPr>
            </w:pPr>
            <w:r w:rsidRPr="00825F0B">
              <w:rPr>
                <w:rFonts w:ascii="Arial" w:eastAsia="Encode Sans" w:hAnsi="Arial" w:cs="Arial"/>
                <w:color w:val="333333"/>
                <w:sz w:val="20"/>
                <w:szCs w:val="20"/>
              </w:rPr>
              <w:t xml:space="preserve">24 cm² </w:t>
            </w:r>
          </w:p>
        </w:tc>
      </w:tr>
    </w:tbl>
    <w:p w14:paraId="3A139F9B" w14:textId="34C83D85" w:rsidR="369F34C4" w:rsidRPr="00825F0B" w:rsidRDefault="2C3CFE81" w:rsidP="21231925">
      <w:pPr>
        <w:shd w:val="clear" w:color="auto" w:fill="FFFFFF" w:themeFill="background1"/>
        <w:spacing w:after="150" w:line="276" w:lineRule="auto"/>
        <w:jc w:val="both"/>
        <w:rPr>
          <w:rFonts w:ascii="Arial" w:hAnsi="Arial" w:cs="Arial"/>
        </w:rPr>
      </w:pPr>
      <w:r w:rsidRPr="00825F0B">
        <w:rPr>
          <w:rFonts w:ascii="Arial" w:eastAsia="Encode Sans" w:hAnsi="Arial" w:cs="Arial"/>
          <w:color w:val="333333"/>
        </w:rPr>
        <w:t xml:space="preserve"> </w:t>
      </w:r>
    </w:p>
    <w:p w14:paraId="01A4DB34" w14:textId="23CC7D38" w:rsidR="369F34C4" w:rsidRPr="00825F0B" w:rsidRDefault="2C3CFE81" w:rsidP="21231925">
      <w:pPr>
        <w:shd w:val="clear" w:color="auto" w:fill="FFFFFF" w:themeFill="background1"/>
        <w:spacing w:after="150" w:line="276" w:lineRule="auto"/>
        <w:jc w:val="both"/>
        <w:rPr>
          <w:rFonts w:ascii="Arial" w:hAnsi="Arial" w:cs="Arial"/>
        </w:rPr>
      </w:pPr>
      <w:r w:rsidRPr="00825F0B">
        <w:rPr>
          <w:rFonts w:ascii="Arial" w:eastAsia="Encode Sans" w:hAnsi="Arial" w:cs="Arial"/>
          <w:color w:val="333333"/>
        </w:rPr>
        <w:t xml:space="preserve">To illustrate this, let us imagine packaging in the form of a small cube with an edge of 1 cm and one larger cube with twice the edge. To match the volume – or amount of product – of the larger cube, we would need eight small ones, amounting for twice the surface – or amount of packaging – compared to the larger packaging, as shown in the image below. </w:t>
      </w:r>
    </w:p>
    <w:p w14:paraId="1CE3C7B6" w14:textId="182E7F6A" w:rsidR="369F34C4" w:rsidRPr="00825F0B" w:rsidRDefault="2C3CFE81" w:rsidP="21231925">
      <w:pPr>
        <w:shd w:val="clear" w:color="auto" w:fill="FFFFFF" w:themeFill="background1"/>
        <w:spacing w:after="150" w:line="276" w:lineRule="auto"/>
        <w:jc w:val="both"/>
        <w:rPr>
          <w:rFonts w:ascii="Arial" w:hAnsi="Arial" w:cs="Arial"/>
        </w:rPr>
      </w:pPr>
      <w:r w:rsidRPr="00825F0B">
        <w:rPr>
          <w:rFonts w:ascii="Arial" w:eastAsia="Encode Sans" w:hAnsi="Arial" w:cs="Arial"/>
          <w:color w:val="333333"/>
        </w:rPr>
        <w:t xml:space="preserve">While most packaging in the wild does not come in the shape of a cube, the principle holds up for other types of packaging as well: by comparison, the </w:t>
      </w:r>
      <w:r w:rsidRPr="00825F0B">
        <w:rPr>
          <w:rFonts w:ascii="Arial" w:eastAsia="Encode Sans" w:hAnsi="Arial" w:cs="Arial"/>
          <w:b/>
          <w:bCs/>
          <w:color w:val="333333"/>
        </w:rPr>
        <w:t>10 kg bag of rice uses less material than ten 1 kg bags.</w:t>
      </w:r>
      <w:r w:rsidRPr="00825F0B">
        <w:rPr>
          <w:rFonts w:ascii="Arial" w:eastAsia="Encode Sans" w:hAnsi="Arial" w:cs="Arial"/>
          <w:color w:val="333333"/>
        </w:rPr>
        <w:t xml:space="preserve"> And since rice lasts quite a long while, the larger bag may be well worth it for a household where rice is eaten a lot. </w:t>
      </w:r>
    </w:p>
    <w:p w14:paraId="45CECA82" w14:textId="59275078" w:rsidR="369F34C4" w:rsidRPr="00825F0B" w:rsidRDefault="2C3CFE81" w:rsidP="21231925">
      <w:pPr>
        <w:shd w:val="clear" w:color="auto" w:fill="FFFFFF" w:themeFill="background1"/>
        <w:spacing w:after="150" w:line="276" w:lineRule="auto"/>
        <w:jc w:val="both"/>
        <w:rPr>
          <w:rFonts w:ascii="Arial" w:hAnsi="Arial" w:cs="Arial"/>
        </w:rPr>
      </w:pPr>
      <w:r w:rsidRPr="00825F0B">
        <w:rPr>
          <w:rFonts w:ascii="Arial" w:hAnsi="Arial" w:cs="Arial"/>
          <w:noProof/>
        </w:rPr>
        <w:lastRenderedPageBreak/>
        <w:drawing>
          <wp:inline distT="0" distB="0" distL="0" distR="0" wp14:anchorId="205E63FF" wp14:editId="713E6068">
            <wp:extent cx="6238875" cy="3895725"/>
            <wp:effectExtent l="0" t="0" r="0" b="0"/>
            <wp:docPr id="243662775" name="drawing" title="File:Basmati Rice Bag (49906485468).jpg - Wikimedia Comm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662775" name="Picture 243662775"/>
                    <pic:cNvPicPr/>
                  </pic:nvPicPr>
                  <pic:blipFill>
                    <a:blip r:embed="rId9">
                      <a:extLst>
                        <a:ext uri="{28A0092B-C50C-407E-A947-70E740481C1C}">
                          <a14:useLocalDpi xmlns:a14="http://schemas.microsoft.com/office/drawing/2010/main"/>
                        </a:ext>
                      </a:extLst>
                    </a:blip>
                    <a:stretch>
                      <a:fillRect/>
                    </a:stretch>
                  </pic:blipFill>
                  <pic:spPr>
                    <a:xfrm>
                      <a:off x="0" y="0"/>
                      <a:ext cx="6238875" cy="3895725"/>
                    </a:xfrm>
                    <a:prstGeom prst="rect">
                      <a:avLst/>
                    </a:prstGeom>
                  </pic:spPr>
                </pic:pic>
              </a:graphicData>
            </a:graphic>
          </wp:inline>
        </w:drawing>
      </w:r>
    </w:p>
    <w:p w14:paraId="01736490" w14:textId="726706C5" w:rsidR="369F34C4" w:rsidRPr="00825F0B" w:rsidRDefault="2C3CFE81" w:rsidP="21231925">
      <w:pPr>
        <w:shd w:val="clear" w:color="auto" w:fill="FFFFFF" w:themeFill="background1"/>
        <w:spacing w:after="150" w:line="276" w:lineRule="auto"/>
        <w:jc w:val="center"/>
        <w:rPr>
          <w:rFonts w:ascii="Arial" w:hAnsi="Arial" w:cs="Arial"/>
          <w:sz w:val="20"/>
          <w:szCs w:val="20"/>
        </w:rPr>
      </w:pPr>
      <w:r w:rsidRPr="00825F0B">
        <w:rPr>
          <w:rFonts w:ascii="Arial" w:eastAsia="Encode Sans" w:hAnsi="Arial" w:cs="Arial"/>
          <w:i/>
          <w:iCs/>
          <w:color w:val="333333"/>
          <w:sz w:val="20"/>
          <w:szCs w:val="20"/>
        </w:rPr>
        <w:t>Photo by Ajay Suresh (</w:t>
      </w:r>
      <w:hyperlink r:id="rId10">
        <w:r w:rsidRPr="00825F0B">
          <w:rPr>
            <w:rStyle w:val="Hipervnculo"/>
            <w:rFonts w:ascii="Arial" w:eastAsia="Encode Sans" w:hAnsi="Arial" w:cs="Arial"/>
            <w:i/>
            <w:iCs/>
            <w:color w:val="028287"/>
            <w:sz w:val="20"/>
            <w:szCs w:val="20"/>
          </w:rPr>
          <w:t>Wikimedia Commons</w:t>
        </w:r>
      </w:hyperlink>
      <w:r w:rsidRPr="00825F0B">
        <w:rPr>
          <w:rFonts w:ascii="Arial" w:eastAsia="Encode Sans" w:hAnsi="Arial" w:cs="Arial"/>
          <w:i/>
          <w:iCs/>
          <w:color w:val="333333"/>
          <w:sz w:val="20"/>
          <w:szCs w:val="20"/>
        </w:rPr>
        <w:t>), licensed under CC BY 2.0</w:t>
      </w:r>
    </w:p>
    <w:p w14:paraId="42E8BD48" w14:textId="4AACF841" w:rsidR="369F34C4" w:rsidRPr="00825F0B" w:rsidRDefault="2C3CFE81" w:rsidP="21231925">
      <w:pPr>
        <w:shd w:val="clear" w:color="auto" w:fill="FFFFFF" w:themeFill="background1"/>
        <w:spacing w:after="150" w:line="276" w:lineRule="auto"/>
        <w:jc w:val="both"/>
        <w:rPr>
          <w:rFonts w:ascii="Arial" w:hAnsi="Arial" w:cs="Arial"/>
        </w:rPr>
      </w:pPr>
      <w:r w:rsidRPr="00825F0B">
        <w:rPr>
          <w:rFonts w:ascii="Arial" w:eastAsia="Encode Sans" w:hAnsi="Arial" w:cs="Arial"/>
          <w:color w:val="333333"/>
        </w:rPr>
        <w:t xml:space="preserve"> </w:t>
      </w:r>
    </w:p>
    <w:p w14:paraId="31187A46" w14:textId="6EBA62D1" w:rsidR="369F34C4" w:rsidRPr="00825F0B" w:rsidRDefault="2C3CFE81" w:rsidP="21231925">
      <w:pPr>
        <w:pStyle w:val="Ttulo3"/>
        <w:shd w:val="clear" w:color="auto" w:fill="FFFFFF" w:themeFill="background1"/>
        <w:spacing w:before="0" w:after="150" w:line="276" w:lineRule="auto"/>
        <w:jc w:val="both"/>
        <w:rPr>
          <w:rFonts w:ascii="Arial" w:hAnsi="Arial" w:cs="Arial"/>
        </w:rPr>
      </w:pPr>
      <w:r w:rsidRPr="00825F0B">
        <w:rPr>
          <w:rFonts w:ascii="Arial" w:eastAsia="Helvetica" w:hAnsi="Arial" w:cs="Arial"/>
          <w:b/>
          <w:bCs/>
          <w:caps/>
          <w:color w:val="0A4149"/>
        </w:rPr>
        <w:t xml:space="preserve">Why not buy in bulk? </w:t>
      </w:r>
    </w:p>
    <w:p w14:paraId="15738697" w14:textId="6C463C5F" w:rsidR="369F34C4" w:rsidRPr="00825F0B" w:rsidRDefault="2C3CFE81" w:rsidP="21231925">
      <w:pPr>
        <w:shd w:val="clear" w:color="auto" w:fill="FFFFFF" w:themeFill="background1"/>
        <w:spacing w:after="150" w:line="276" w:lineRule="auto"/>
        <w:jc w:val="both"/>
        <w:rPr>
          <w:rFonts w:ascii="Arial" w:hAnsi="Arial" w:cs="Arial"/>
        </w:rPr>
      </w:pPr>
      <w:r w:rsidRPr="00825F0B">
        <w:rPr>
          <w:rFonts w:ascii="Arial" w:eastAsia="Encode Sans" w:hAnsi="Arial" w:cs="Arial"/>
          <w:color w:val="333333"/>
        </w:rPr>
        <w:t xml:space="preserve">But let’s not get carried away. </w:t>
      </w:r>
      <w:r w:rsidRPr="00825F0B">
        <w:rPr>
          <w:rFonts w:ascii="Arial" w:eastAsia="Encode Sans" w:hAnsi="Arial" w:cs="Arial"/>
          <w:b/>
          <w:bCs/>
          <w:color w:val="333333"/>
        </w:rPr>
        <w:t>Are there cases where we might not want to buy in bulk</w:t>
      </w:r>
      <w:r w:rsidRPr="00825F0B">
        <w:rPr>
          <w:rFonts w:ascii="Arial" w:eastAsia="Encode Sans" w:hAnsi="Arial" w:cs="Arial"/>
          <w:color w:val="333333"/>
        </w:rPr>
        <w:t xml:space="preserve">? For almost all foods, with mineral water being the notable exception, </w:t>
      </w:r>
      <w:r w:rsidRPr="00825F0B">
        <w:rPr>
          <w:rFonts w:ascii="Arial" w:eastAsia="Encode Sans" w:hAnsi="Arial" w:cs="Arial"/>
          <w:b/>
          <w:bCs/>
          <w:color w:val="333333"/>
        </w:rPr>
        <w:t>producing the food has a larger environmental impact than producing the packaging</w:t>
      </w:r>
      <w:r w:rsidRPr="00825F0B">
        <w:rPr>
          <w:rFonts w:ascii="Arial" w:eastAsia="Encode Sans" w:hAnsi="Arial" w:cs="Arial"/>
          <w:color w:val="333333"/>
        </w:rPr>
        <w:t xml:space="preserve">. With that in mind, if a larger package means part of the food will spoil after opening, the smaller option is often the better choice (unless the leftovers can be frozen or otherwise made to last). This applies mainly to perishable foods that will be kept for a long time after opening the package. If the packaging is not resealable, the larger packaging may be more at a disadvantage. </w:t>
      </w:r>
    </w:p>
    <w:p w14:paraId="3CA66EEE" w14:textId="5A734D1B" w:rsidR="369F34C4" w:rsidRPr="00825F0B" w:rsidRDefault="2C3CFE81" w:rsidP="21231925">
      <w:pPr>
        <w:shd w:val="clear" w:color="auto" w:fill="FFFFFF" w:themeFill="background1"/>
        <w:spacing w:after="150" w:line="276" w:lineRule="auto"/>
        <w:jc w:val="both"/>
        <w:rPr>
          <w:rFonts w:ascii="Arial" w:hAnsi="Arial" w:cs="Arial"/>
        </w:rPr>
      </w:pPr>
      <w:r w:rsidRPr="00825F0B">
        <w:rPr>
          <w:rFonts w:ascii="Arial" w:eastAsia="Encode Sans" w:hAnsi="Arial" w:cs="Arial"/>
          <w:color w:val="333333"/>
        </w:rPr>
        <w:t xml:space="preserve">In other words, </w:t>
      </w:r>
      <w:r w:rsidRPr="00825F0B">
        <w:rPr>
          <w:rFonts w:ascii="Arial" w:eastAsia="Encode Sans" w:hAnsi="Arial" w:cs="Arial"/>
          <w:b/>
          <w:bCs/>
          <w:color w:val="333333"/>
        </w:rPr>
        <w:t>wasting food is worse than using extra packaging.</w:t>
      </w:r>
      <w:r w:rsidRPr="00825F0B">
        <w:rPr>
          <w:rFonts w:ascii="Arial" w:eastAsia="Encode Sans" w:hAnsi="Arial" w:cs="Arial"/>
          <w:color w:val="333333"/>
        </w:rPr>
        <w:t xml:space="preserve"> </w:t>
      </w:r>
    </w:p>
    <w:p w14:paraId="49CF5FAC" w14:textId="60DCB044" w:rsidR="369F34C4" w:rsidRPr="00825F0B" w:rsidRDefault="2C3CFE81" w:rsidP="21231925">
      <w:pPr>
        <w:shd w:val="clear" w:color="auto" w:fill="FFFFFF" w:themeFill="background1"/>
        <w:spacing w:after="150" w:line="276" w:lineRule="auto"/>
        <w:jc w:val="both"/>
        <w:rPr>
          <w:rFonts w:ascii="Arial" w:hAnsi="Arial" w:cs="Arial"/>
        </w:rPr>
      </w:pPr>
      <w:r w:rsidRPr="00825F0B">
        <w:rPr>
          <w:rFonts w:ascii="Arial" w:eastAsia="Encode Sans" w:hAnsi="Arial" w:cs="Arial"/>
          <w:color w:val="333333"/>
        </w:rPr>
        <w:t xml:space="preserve"> </w:t>
      </w:r>
    </w:p>
    <w:p w14:paraId="3816D07E" w14:textId="4E4D55D3" w:rsidR="369F34C4" w:rsidRPr="00825F0B" w:rsidRDefault="2C3CFE81" w:rsidP="21231925">
      <w:pPr>
        <w:pStyle w:val="Ttulo3"/>
        <w:shd w:val="clear" w:color="auto" w:fill="FFFFFF" w:themeFill="background1"/>
        <w:spacing w:before="0" w:after="150" w:line="276" w:lineRule="auto"/>
        <w:jc w:val="both"/>
        <w:rPr>
          <w:rFonts w:ascii="Arial" w:hAnsi="Arial" w:cs="Arial"/>
        </w:rPr>
      </w:pPr>
      <w:r w:rsidRPr="00825F0B">
        <w:rPr>
          <w:rFonts w:ascii="Arial" w:eastAsia="Helvetica" w:hAnsi="Arial" w:cs="Arial"/>
          <w:b/>
          <w:bCs/>
          <w:caps/>
          <w:color w:val="0A4149"/>
        </w:rPr>
        <w:t xml:space="preserve">What to buy in bulk – and what not? </w:t>
      </w:r>
    </w:p>
    <w:p w14:paraId="67EB2503" w14:textId="2DACCBCD" w:rsidR="369F34C4" w:rsidRPr="00825F0B" w:rsidRDefault="2C3CFE81" w:rsidP="21231925">
      <w:pPr>
        <w:shd w:val="clear" w:color="auto" w:fill="FFFFFF" w:themeFill="background1"/>
        <w:spacing w:after="150" w:line="276" w:lineRule="auto"/>
        <w:jc w:val="both"/>
        <w:rPr>
          <w:rFonts w:ascii="Arial" w:hAnsi="Arial" w:cs="Arial"/>
        </w:rPr>
      </w:pPr>
      <w:r w:rsidRPr="00825F0B">
        <w:rPr>
          <w:rFonts w:ascii="Arial" w:eastAsia="Encode Sans" w:hAnsi="Arial" w:cs="Arial"/>
          <w:color w:val="333333"/>
        </w:rPr>
        <w:t xml:space="preserve">In short, buying in bulk means using less packaging material and putting more food into one package. </w:t>
      </w:r>
      <w:r w:rsidRPr="00825F0B">
        <w:rPr>
          <w:rFonts w:ascii="Arial" w:eastAsia="Encode Sans" w:hAnsi="Arial" w:cs="Arial"/>
          <w:b/>
          <w:bCs/>
          <w:color w:val="333333"/>
        </w:rPr>
        <w:t>For long-lasting staples, bulk packaging is a better choice compared to smaller units</w:t>
      </w:r>
      <w:r w:rsidRPr="00825F0B">
        <w:rPr>
          <w:rFonts w:ascii="Arial" w:eastAsia="Encode Sans" w:hAnsi="Arial" w:cs="Arial"/>
          <w:color w:val="333333"/>
        </w:rPr>
        <w:t xml:space="preserve">, as far as eco-friendliness is concerned. For any perishable goods that are used up in one go – or perhaps in a few days – bulk packaging produces less waste compared to buying the same amount of food in </w:t>
      </w:r>
      <w:r w:rsidRPr="00825F0B">
        <w:rPr>
          <w:rFonts w:ascii="Arial" w:eastAsia="Encode Sans" w:hAnsi="Arial" w:cs="Arial"/>
          <w:color w:val="333333"/>
        </w:rPr>
        <w:lastRenderedPageBreak/>
        <w:t xml:space="preserve">several smaller packages. Depending on the producer and the market, buying in bulk might also be cheaper! </w:t>
      </w:r>
      <w:r w:rsidRPr="00825F0B">
        <w:rPr>
          <w:rFonts w:ascii="Arial" w:eastAsia="Encode Sans" w:hAnsi="Arial" w:cs="Arial"/>
          <w:b/>
          <w:bCs/>
          <w:color w:val="333333"/>
        </w:rPr>
        <w:t xml:space="preserve">So, when is buying in bulk the eco-friendly choice? </w:t>
      </w:r>
    </w:p>
    <w:p w14:paraId="4D114F3F" w14:textId="3A8A5F73" w:rsidR="369F34C4" w:rsidRPr="00825F0B" w:rsidRDefault="2C3CFE81" w:rsidP="21231925">
      <w:pPr>
        <w:shd w:val="clear" w:color="auto" w:fill="FFFFFF" w:themeFill="background1"/>
        <w:spacing w:after="150" w:line="276" w:lineRule="auto"/>
        <w:jc w:val="both"/>
        <w:rPr>
          <w:rFonts w:ascii="Arial" w:hAnsi="Arial" w:cs="Arial"/>
        </w:rPr>
      </w:pPr>
      <w:r w:rsidRPr="00825F0B">
        <w:rPr>
          <w:rFonts w:ascii="Arial" w:eastAsia="Encode Sans" w:hAnsi="Arial" w:cs="Arial"/>
          <w:color w:val="333333"/>
        </w:rPr>
        <w:t xml:space="preserve">Shelf-stable staples: rice, flour, sugar, dried pulses and legumes, dried pasta </w:t>
      </w:r>
    </w:p>
    <w:p w14:paraId="053A3916" w14:textId="12CAB8E7" w:rsidR="369F34C4" w:rsidRPr="00825F0B" w:rsidRDefault="2C3CFE81" w:rsidP="21231925">
      <w:pPr>
        <w:pStyle w:val="Prrafodelista"/>
        <w:numPr>
          <w:ilvl w:val="0"/>
          <w:numId w:val="2"/>
        </w:numPr>
        <w:shd w:val="clear" w:color="auto" w:fill="FFFFFF" w:themeFill="background1"/>
        <w:spacing w:after="0" w:line="276" w:lineRule="auto"/>
        <w:ind w:left="300"/>
        <w:jc w:val="both"/>
        <w:rPr>
          <w:rFonts w:ascii="Arial" w:eastAsia="Encode Sans" w:hAnsi="Arial" w:cs="Arial"/>
          <w:color w:val="333333"/>
        </w:rPr>
      </w:pPr>
      <w:r w:rsidRPr="00825F0B">
        <w:rPr>
          <w:rFonts w:ascii="Arial" w:eastAsia="Encode Sans" w:hAnsi="Arial" w:cs="Arial"/>
          <w:color w:val="333333"/>
        </w:rPr>
        <w:t xml:space="preserve">Resealable containers with preserved foods: pickled foods, marmalade/jams, condiments – always provided, no dirty cutlery enters the container </w:t>
      </w:r>
    </w:p>
    <w:p w14:paraId="50C82AF4" w14:textId="6810B7CD" w:rsidR="369F34C4" w:rsidRPr="00825F0B" w:rsidRDefault="2C3CFE81" w:rsidP="21231925">
      <w:pPr>
        <w:pStyle w:val="Prrafodelista"/>
        <w:numPr>
          <w:ilvl w:val="0"/>
          <w:numId w:val="2"/>
        </w:numPr>
        <w:shd w:val="clear" w:color="auto" w:fill="FFFFFF" w:themeFill="background1"/>
        <w:spacing w:after="0" w:line="276" w:lineRule="auto"/>
        <w:ind w:left="300"/>
        <w:jc w:val="both"/>
        <w:rPr>
          <w:rFonts w:ascii="Arial" w:eastAsia="Encode Sans" w:hAnsi="Arial" w:cs="Arial"/>
          <w:color w:val="333333"/>
        </w:rPr>
      </w:pPr>
      <w:r w:rsidRPr="00825F0B">
        <w:rPr>
          <w:rFonts w:ascii="Arial" w:eastAsia="Encode Sans" w:hAnsi="Arial" w:cs="Arial"/>
          <w:color w:val="333333"/>
        </w:rPr>
        <w:t xml:space="preserve">Generally, foods that last a while after opening </w:t>
      </w:r>
    </w:p>
    <w:p w14:paraId="47AB274D" w14:textId="637C17E6" w:rsidR="369F34C4" w:rsidRPr="00825F0B" w:rsidRDefault="2C3CFE81" w:rsidP="21231925">
      <w:pPr>
        <w:pStyle w:val="Prrafodelista"/>
        <w:numPr>
          <w:ilvl w:val="0"/>
          <w:numId w:val="2"/>
        </w:numPr>
        <w:shd w:val="clear" w:color="auto" w:fill="FFFFFF" w:themeFill="background1"/>
        <w:spacing w:after="0" w:line="276" w:lineRule="auto"/>
        <w:ind w:left="300"/>
        <w:jc w:val="both"/>
        <w:rPr>
          <w:rFonts w:ascii="Arial" w:eastAsia="Encode Sans" w:hAnsi="Arial" w:cs="Arial"/>
          <w:color w:val="333333"/>
        </w:rPr>
      </w:pPr>
      <w:r w:rsidRPr="00825F0B">
        <w:rPr>
          <w:rFonts w:ascii="Arial" w:eastAsia="Encode Sans" w:hAnsi="Arial" w:cs="Arial"/>
          <w:color w:val="333333"/>
        </w:rPr>
        <w:t xml:space="preserve">Anything that is used quickly after opening (where “quickly“ depends on the food): ingredients for large meals, meal prepping etc. </w:t>
      </w:r>
    </w:p>
    <w:p w14:paraId="096AF038" w14:textId="12C3AFD8" w:rsidR="369F34C4" w:rsidRPr="00825F0B" w:rsidRDefault="2C3CFE81" w:rsidP="21231925">
      <w:pPr>
        <w:shd w:val="clear" w:color="auto" w:fill="FFFFFF" w:themeFill="background1"/>
        <w:spacing w:after="150" w:line="276" w:lineRule="auto"/>
        <w:jc w:val="both"/>
        <w:rPr>
          <w:rFonts w:ascii="Arial" w:hAnsi="Arial" w:cs="Arial"/>
        </w:rPr>
      </w:pPr>
      <w:r w:rsidRPr="00825F0B">
        <w:rPr>
          <w:rFonts w:ascii="Arial" w:eastAsia="Encode Sans" w:hAnsi="Arial" w:cs="Arial"/>
          <w:color w:val="333333"/>
        </w:rPr>
        <w:t xml:space="preserve">On the other hand, if the food needs to be kept for longer after opening and is a bit more perishable, the smaller size might be the eco-friendlier choice as no food is wasted. Here, it is beneficial to buy the size according to one’s needs. Examples include: </w:t>
      </w:r>
    </w:p>
    <w:p w14:paraId="054AD95B" w14:textId="0C7C8B74" w:rsidR="369F34C4" w:rsidRPr="00825F0B" w:rsidRDefault="2C3CFE81" w:rsidP="21231925">
      <w:pPr>
        <w:pStyle w:val="Prrafodelista"/>
        <w:numPr>
          <w:ilvl w:val="0"/>
          <w:numId w:val="1"/>
        </w:numPr>
        <w:shd w:val="clear" w:color="auto" w:fill="FFFFFF" w:themeFill="background1"/>
        <w:spacing w:after="0" w:line="276" w:lineRule="auto"/>
        <w:ind w:left="300"/>
        <w:jc w:val="both"/>
        <w:rPr>
          <w:rFonts w:ascii="Arial" w:eastAsia="Encode Sans" w:hAnsi="Arial" w:cs="Arial"/>
          <w:color w:val="333333"/>
        </w:rPr>
      </w:pPr>
      <w:r w:rsidRPr="00825F0B">
        <w:rPr>
          <w:rFonts w:ascii="Arial" w:eastAsia="Encode Sans" w:hAnsi="Arial" w:cs="Arial"/>
          <w:color w:val="333333"/>
        </w:rPr>
        <w:t xml:space="preserve">Fresh, unpreserved meat and fish – these often only last a short time, so keeping them open for more than a day or two is unadvisable </w:t>
      </w:r>
    </w:p>
    <w:p w14:paraId="2EF0D2A3" w14:textId="2E336550" w:rsidR="369F34C4" w:rsidRPr="00825F0B" w:rsidRDefault="2C3CFE81" w:rsidP="21231925">
      <w:pPr>
        <w:pStyle w:val="Prrafodelista"/>
        <w:numPr>
          <w:ilvl w:val="0"/>
          <w:numId w:val="1"/>
        </w:numPr>
        <w:shd w:val="clear" w:color="auto" w:fill="FFFFFF" w:themeFill="background1"/>
        <w:spacing w:after="0" w:line="276" w:lineRule="auto"/>
        <w:ind w:left="300"/>
        <w:jc w:val="both"/>
        <w:rPr>
          <w:rFonts w:ascii="Arial" w:eastAsia="Encode Sans" w:hAnsi="Arial" w:cs="Arial"/>
          <w:color w:val="333333"/>
        </w:rPr>
      </w:pPr>
      <w:r w:rsidRPr="00825F0B">
        <w:rPr>
          <w:rFonts w:ascii="Arial" w:eastAsia="Encode Sans" w:hAnsi="Arial" w:cs="Arial"/>
          <w:color w:val="333333"/>
        </w:rPr>
        <w:t xml:space="preserve">Anything packaged under a modified atmosphere. This is usually done to extend the shelf life of the product. Once the package is open, the modified atmosphere is gone, and so is its protective function. Depending on the product, spoilage may occur within a few days. Modified atmosphere packaging is usually declared on the package. </w:t>
      </w:r>
    </w:p>
    <w:p w14:paraId="4E529AAF" w14:textId="1FC38890" w:rsidR="369F34C4" w:rsidRPr="00825F0B" w:rsidRDefault="2C3CFE81" w:rsidP="21231925">
      <w:pPr>
        <w:shd w:val="clear" w:color="auto" w:fill="FFFFFF" w:themeFill="background1"/>
        <w:spacing w:after="150" w:line="276" w:lineRule="auto"/>
        <w:jc w:val="both"/>
        <w:rPr>
          <w:rFonts w:ascii="Arial" w:hAnsi="Arial" w:cs="Arial"/>
        </w:rPr>
      </w:pPr>
      <w:r w:rsidRPr="00825F0B">
        <w:rPr>
          <w:rFonts w:ascii="Arial" w:eastAsia="Encode Sans" w:hAnsi="Arial" w:cs="Arial"/>
          <w:color w:val="333333"/>
        </w:rPr>
        <w:t xml:space="preserve">Then of course, there are some cases where we can make an argument for both. Chips for example: once a bag is open, it will be emptied quickly, no matter the size. They will, of course, go right to our hips. </w:t>
      </w:r>
    </w:p>
    <w:p w14:paraId="1AA909A7" w14:textId="1EF628A0" w:rsidR="369F34C4" w:rsidRPr="00825F0B" w:rsidRDefault="2C3CFE81" w:rsidP="21231925">
      <w:pPr>
        <w:shd w:val="clear" w:color="auto" w:fill="FFFFFF" w:themeFill="background1"/>
        <w:spacing w:after="150" w:line="276" w:lineRule="auto"/>
        <w:jc w:val="both"/>
        <w:rPr>
          <w:rFonts w:ascii="Arial" w:hAnsi="Arial" w:cs="Arial"/>
        </w:rPr>
      </w:pPr>
      <w:r w:rsidRPr="00825F0B">
        <w:rPr>
          <w:rFonts w:ascii="Arial" w:eastAsia="Encode Sans" w:hAnsi="Arial" w:cs="Arial"/>
          <w:color w:val="333333"/>
        </w:rPr>
        <w:t xml:space="preserve"> </w:t>
      </w:r>
    </w:p>
    <w:p w14:paraId="1D62E376" w14:textId="67F822AC" w:rsidR="369F34C4" w:rsidRPr="00825F0B" w:rsidRDefault="2C3CFE81" w:rsidP="21231925">
      <w:pPr>
        <w:pStyle w:val="Ttulo3"/>
        <w:shd w:val="clear" w:color="auto" w:fill="FFFFFF" w:themeFill="background1"/>
        <w:spacing w:before="0" w:after="150" w:line="276" w:lineRule="auto"/>
        <w:jc w:val="both"/>
        <w:rPr>
          <w:rFonts w:ascii="Arial" w:hAnsi="Arial" w:cs="Arial"/>
        </w:rPr>
      </w:pPr>
      <w:r w:rsidRPr="00825F0B">
        <w:rPr>
          <w:rFonts w:ascii="Arial" w:eastAsia="Helvetica" w:hAnsi="Arial" w:cs="Arial"/>
          <w:b/>
          <w:bCs/>
          <w:caps/>
          <w:color w:val="0A4149"/>
        </w:rPr>
        <w:t xml:space="preserve">What clues do we get from the packaging? </w:t>
      </w:r>
    </w:p>
    <w:p w14:paraId="100292D9" w14:textId="3BE63430" w:rsidR="369F34C4" w:rsidRPr="00825F0B" w:rsidRDefault="2C3CFE81" w:rsidP="21231925">
      <w:pPr>
        <w:shd w:val="clear" w:color="auto" w:fill="FFFFFF" w:themeFill="background1"/>
        <w:spacing w:after="150" w:line="276" w:lineRule="auto"/>
        <w:jc w:val="both"/>
        <w:rPr>
          <w:rFonts w:ascii="Arial" w:hAnsi="Arial" w:cs="Arial"/>
        </w:rPr>
      </w:pPr>
      <w:r w:rsidRPr="00825F0B">
        <w:rPr>
          <w:rFonts w:ascii="Arial" w:eastAsia="Encode Sans" w:hAnsi="Arial" w:cs="Arial"/>
          <w:color w:val="333333"/>
        </w:rPr>
        <w:t>Looking at the packaging can give us some insights on whether or not buying in bulk is worth it. If</w:t>
      </w:r>
      <w:r w:rsidRPr="00825F0B">
        <w:rPr>
          <w:rFonts w:ascii="Arial" w:eastAsia="Encode Sans" w:hAnsi="Arial" w:cs="Arial"/>
          <w:b/>
          <w:bCs/>
          <w:color w:val="333333"/>
        </w:rPr>
        <w:t xml:space="preserve"> the packaging gives us some information about how long we should take to use the product after opening</w:t>
      </w:r>
      <w:r w:rsidRPr="00825F0B">
        <w:rPr>
          <w:rFonts w:ascii="Arial" w:eastAsia="Encode Sans" w:hAnsi="Arial" w:cs="Arial"/>
          <w:color w:val="333333"/>
        </w:rPr>
        <w:t xml:space="preserve">, we get a very useful piece of information. If the package tells us to use the content “within a few days”, we should probably only buy as much as we need within that time (or turn the rest into something more lasting).  </w:t>
      </w:r>
    </w:p>
    <w:p w14:paraId="6D01D767" w14:textId="7CBE2570" w:rsidR="369F34C4" w:rsidRPr="00825F0B" w:rsidRDefault="2C3CFE81" w:rsidP="21231925">
      <w:pPr>
        <w:shd w:val="clear" w:color="auto" w:fill="FFFFFF" w:themeFill="background1"/>
        <w:spacing w:after="150" w:line="276" w:lineRule="auto"/>
        <w:jc w:val="both"/>
        <w:rPr>
          <w:rFonts w:ascii="Arial" w:hAnsi="Arial" w:cs="Arial"/>
        </w:rPr>
      </w:pPr>
      <w:r w:rsidRPr="00825F0B">
        <w:rPr>
          <w:rFonts w:ascii="Arial" w:eastAsia="Encode Sans" w:hAnsi="Arial" w:cs="Arial"/>
          <w:color w:val="333333"/>
        </w:rPr>
        <w:t xml:space="preserve">Another way is to look at the packaging material itself: if it is really simple, especially if it is just paper or cardboard, the product itself is probably quite stable (e.g. flour, sugar, pasta) and will keep a while – buying in bulk is definitely an option. If the packaging is more complex, especially if there is visible metal on a plastic packaging, the product is probably quite susceptible to spoilage and is protected by the packaging. This indicates that the product will not last long after opening – buying just what we need in the short run might be the better option here. As mentioned above, references to modified atmosphere packaging (MAP) also indicate a delicate product.  </w:t>
      </w:r>
    </w:p>
    <w:p w14:paraId="35231C14" w14:textId="2617277C" w:rsidR="369F34C4" w:rsidRPr="00825F0B" w:rsidRDefault="2C3CFE81" w:rsidP="21231925">
      <w:pPr>
        <w:shd w:val="clear" w:color="auto" w:fill="FFFFFF" w:themeFill="background1"/>
        <w:spacing w:after="150" w:line="276" w:lineRule="auto"/>
        <w:jc w:val="center"/>
        <w:rPr>
          <w:rFonts w:ascii="Arial" w:hAnsi="Arial" w:cs="Arial"/>
        </w:rPr>
      </w:pPr>
      <w:r w:rsidRPr="00825F0B">
        <w:rPr>
          <w:rFonts w:ascii="Arial" w:eastAsia="Encode Sans" w:hAnsi="Arial" w:cs="Arial"/>
          <w:b/>
          <w:bCs/>
          <w:color w:val="333333"/>
        </w:rPr>
        <w:t xml:space="preserve">YES: </w:t>
      </w:r>
    </w:p>
    <w:p w14:paraId="429E8BAB" w14:textId="5251028D" w:rsidR="369F34C4" w:rsidRPr="00825F0B" w:rsidRDefault="2C3CFE81" w:rsidP="00825F0B">
      <w:pPr>
        <w:shd w:val="clear" w:color="auto" w:fill="FFFFFF" w:themeFill="background1"/>
        <w:spacing w:after="150" w:line="276" w:lineRule="auto"/>
        <w:jc w:val="center"/>
        <w:rPr>
          <w:rFonts w:ascii="Arial" w:hAnsi="Arial" w:cs="Arial"/>
        </w:rPr>
      </w:pPr>
      <w:r w:rsidRPr="00825F0B">
        <w:rPr>
          <w:rFonts w:ascii="Arial" w:hAnsi="Arial" w:cs="Arial"/>
          <w:noProof/>
        </w:rPr>
        <w:lastRenderedPageBreak/>
        <w:drawing>
          <wp:inline distT="0" distB="0" distL="0" distR="0" wp14:anchorId="6D269160" wp14:editId="49557C9B">
            <wp:extent cx="2714625" cy="3619500"/>
            <wp:effectExtent l="0" t="0" r="0" b="0"/>
            <wp:docPr id="1310886223" name="drawing" title="File:Bag of flour162.jpg - Wikimedia Comm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0886223" name="Picture 1310886223"/>
                    <pic:cNvPicPr/>
                  </pic:nvPicPr>
                  <pic:blipFill>
                    <a:blip r:embed="rId11">
                      <a:extLst>
                        <a:ext uri="{28A0092B-C50C-407E-A947-70E740481C1C}">
                          <a14:useLocalDpi xmlns:a14="http://schemas.microsoft.com/office/drawing/2010/main"/>
                        </a:ext>
                      </a:extLst>
                    </a:blip>
                    <a:stretch>
                      <a:fillRect/>
                    </a:stretch>
                  </pic:blipFill>
                  <pic:spPr>
                    <a:xfrm>
                      <a:off x="0" y="0"/>
                      <a:ext cx="2714625" cy="3619500"/>
                    </a:xfrm>
                    <a:prstGeom prst="rect">
                      <a:avLst/>
                    </a:prstGeom>
                  </pic:spPr>
                </pic:pic>
              </a:graphicData>
            </a:graphic>
          </wp:inline>
        </w:drawing>
      </w:r>
    </w:p>
    <w:p w14:paraId="091BF749" w14:textId="1516BAB8" w:rsidR="369F34C4" w:rsidRPr="00825F0B" w:rsidRDefault="2C3CFE81" w:rsidP="21231925">
      <w:pPr>
        <w:shd w:val="clear" w:color="auto" w:fill="FFFFFF" w:themeFill="background1"/>
        <w:spacing w:after="150" w:line="276" w:lineRule="auto"/>
        <w:jc w:val="center"/>
        <w:rPr>
          <w:rFonts w:ascii="Arial" w:hAnsi="Arial" w:cs="Arial"/>
          <w:sz w:val="20"/>
          <w:szCs w:val="20"/>
        </w:rPr>
      </w:pPr>
      <w:r w:rsidRPr="00825F0B">
        <w:rPr>
          <w:rFonts w:ascii="Arial" w:eastAsia="Encode Sans" w:hAnsi="Arial" w:cs="Arial"/>
          <w:i/>
          <w:iCs/>
          <w:color w:val="333333"/>
          <w:sz w:val="20"/>
          <w:szCs w:val="20"/>
        </w:rPr>
        <w:t>Photo from</w:t>
      </w:r>
      <w:hyperlink r:id="rId12">
        <w:r w:rsidRPr="00825F0B">
          <w:rPr>
            <w:rStyle w:val="Hipervnculo"/>
            <w:rFonts w:ascii="Arial" w:eastAsia="Encode Sans" w:hAnsi="Arial" w:cs="Arial"/>
            <w:i/>
            <w:iCs/>
            <w:color w:val="028287"/>
            <w:sz w:val="20"/>
            <w:szCs w:val="20"/>
          </w:rPr>
          <w:t xml:space="preserve"> Wikimedia Commons</w:t>
        </w:r>
      </w:hyperlink>
      <w:r w:rsidRPr="00825F0B">
        <w:rPr>
          <w:rFonts w:ascii="Arial" w:eastAsia="Encode Sans" w:hAnsi="Arial" w:cs="Arial"/>
          <w:i/>
          <w:iCs/>
          <w:color w:val="333333"/>
          <w:sz w:val="20"/>
          <w:szCs w:val="20"/>
        </w:rPr>
        <w:t>, licensed under CC BY-SA 3.0</w:t>
      </w:r>
    </w:p>
    <w:p w14:paraId="61542286" w14:textId="45AB75AC" w:rsidR="369F34C4" w:rsidRPr="00825F0B" w:rsidRDefault="2C3CFE81" w:rsidP="21231925">
      <w:pPr>
        <w:shd w:val="clear" w:color="auto" w:fill="FFFFFF" w:themeFill="background1"/>
        <w:spacing w:after="150" w:line="276" w:lineRule="auto"/>
        <w:jc w:val="both"/>
        <w:rPr>
          <w:rFonts w:ascii="Arial" w:hAnsi="Arial" w:cs="Arial"/>
        </w:rPr>
      </w:pPr>
      <w:r w:rsidRPr="00825F0B">
        <w:rPr>
          <w:rFonts w:ascii="Arial" w:eastAsia="Encode Sans" w:hAnsi="Arial" w:cs="Arial"/>
          <w:color w:val="333333"/>
        </w:rPr>
        <w:t xml:space="preserve"> </w:t>
      </w:r>
    </w:p>
    <w:p w14:paraId="5D814704" w14:textId="546D05B0" w:rsidR="369F34C4" w:rsidRPr="00825F0B" w:rsidRDefault="2C3CFE81" w:rsidP="21231925">
      <w:pPr>
        <w:pStyle w:val="Ttulo3"/>
        <w:shd w:val="clear" w:color="auto" w:fill="FFFFFF" w:themeFill="background1"/>
        <w:spacing w:before="0" w:after="150" w:line="276" w:lineRule="auto"/>
        <w:jc w:val="both"/>
        <w:rPr>
          <w:rFonts w:ascii="Arial" w:hAnsi="Arial" w:cs="Arial"/>
        </w:rPr>
      </w:pPr>
      <w:r w:rsidRPr="00825F0B">
        <w:rPr>
          <w:rFonts w:ascii="Arial" w:eastAsia="Helvetica" w:hAnsi="Arial" w:cs="Arial"/>
          <w:b/>
          <w:bCs/>
          <w:caps/>
          <w:color w:val="0A4149"/>
        </w:rPr>
        <w:t>What is the conclusion?</w:t>
      </w:r>
    </w:p>
    <w:p w14:paraId="30C2895B" w14:textId="717991CB" w:rsidR="369F34C4" w:rsidRPr="00825F0B" w:rsidRDefault="2C3CFE81" w:rsidP="21231925">
      <w:pPr>
        <w:shd w:val="clear" w:color="auto" w:fill="FFFFFF" w:themeFill="background1"/>
        <w:spacing w:after="150" w:line="276" w:lineRule="auto"/>
        <w:jc w:val="both"/>
        <w:rPr>
          <w:rFonts w:ascii="Arial" w:hAnsi="Arial" w:cs="Arial"/>
        </w:rPr>
      </w:pPr>
      <w:r w:rsidRPr="00825F0B">
        <w:rPr>
          <w:rFonts w:ascii="Arial" w:eastAsia="Encode Sans" w:hAnsi="Arial" w:cs="Arial"/>
          <w:color w:val="333333"/>
        </w:rPr>
        <w:t xml:space="preserve">Buying in bulk doesn’t mean turning your kitchen into a survivalist bunker. It’s not about stacking towers of rice bags or pasta packs until your cupboards groan. It’s about balance. When the food lasts—like flour, beans, or rice—bigger packs mean less packaging and less waste. When the food spoils quickly, smaller packs are the smarter, greener choice. </w:t>
      </w:r>
    </w:p>
    <w:p w14:paraId="733E0333" w14:textId="75920297" w:rsidR="369F34C4" w:rsidRPr="00825F0B" w:rsidRDefault="2C3CFE81" w:rsidP="21231925">
      <w:pPr>
        <w:shd w:val="clear" w:color="auto" w:fill="FFFFFF" w:themeFill="background1"/>
        <w:spacing w:after="150" w:line="276" w:lineRule="auto"/>
        <w:jc w:val="both"/>
        <w:rPr>
          <w:rFonts w:ascii="Arial" w:hAnsi="Arial" w:cs="Arial"/>
        </w:rPr>
      </w:pPr>
      <w:r w:rsidRPr="00825F0B">
        <w:rPr>
          <w:rFonts w:ascii="Arial" w:eastAsia="Encode Sans" w:hAnsi="Arial" w:cs="Arial"/>
          <w:color w:val="333333"/>
        </w:rPr>
        <w:t xml:space="preserve">Sustainability it’s about matching what you buy with what you actually eat. A 10-kg bag of rice that feeds your family for months? Great choice. A family-sized tray of fresh fish that ends up in the bin? Not so much. </w:t>
      </w:r>
    </w:p>
    <w:p w14:paraId="757C8896" w14:textId="5021AF27" w:rsidR="369F34C4" w:rsidRPr="00825F0B" w:rsidRDefault="2C3CFE81" w:rsidP="21231925">
      <w:pPr>
        <w:shd w:val="clear" w:color="auto" w:fill="FFFFFF" w:themeFill="background1"/>
        <w:spacing w:after="150" w:line="276" w:lineRule="auto"/>
        <w:jc w:val="both"/>
        <w:rPr>
          <w:rFonts w:ascii="Arial" w:hAnsi="Arial" w:cs="Arial"/>
        </w:rPr>
      </w:pPr>
      <w:r w:rsidRPr="00825F0B">
        <w:rPr>
          <w:rFonts w:ascii="Arial" w:eastAsia="Encode Sans" w:hAnsi="Arial" w:cs="Arial"/>
          <w:color w:val="333333"/>
        </w:rPr>
        <w:t xml:space="preserve">The golden rule? </w:t>
      </w:r>
      <w:r w:rsidRPr="00825F0B">
        <w:rPr>
          <w:rFonts w:ascii="Arial" w:eastAsia="Encode Sans" w:hAnsi="Arial" w:cs="Arial"/>
          <w:b/>
          <w:bCs/>
          <w:color w:val="333333"/>
        </w:rPr>
        <w:t>Bulk is better when it saves packaging without creating food waste.</w:t>
      </w:r>
      <w:r w:rsidRPr="00825F0B">
        <w:rPr>
          <w:rFonts w:ascii="Arial" w:eastAsia="Encode Sans" w:hAnsi="Arial" w:cs="Arial"/>
          <w:color w:val="333333"/>
        </w:rPr>
        <w:t xml:space="preserve"> Buy with your habits in mind, not just the “eco” label on the shelf. That’s where the real impact lies.</w:t>
      </w:r>
    </w:p>
    <w:p w14:paraId="54357617" w14:textId="58C5CED5" w:rsidR="369F34C4" w:rsidRPr="00825F0B" w:rsidRDefault="369F34C4" w:rsidP="21231925">
      <w:pPr>
        <w:spacing w:line="276" w:lineRule="auto"/>
        <w:jc w:val="both"/>
        <w:rPr>
          <w:rFonts w:ascii="Arial" w:hAnsi="Arial" w:cs="Arial"/>
        </w:rPr>
      </w:pPr>
    </w:p>
    <w:sectPr w:rsidR="369F34C4" w:rsidRPr="00825F0B">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Encode Sans">
    <w:altName w:val="Cambria"/>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3113FD"/>
    <w:multiLevelType w:val="hybridMultilevel"/>
    <w:tmpl w:val="ED68706E"/>
    <w:lvl w:ilvl="0" w:tplc="8EC6BB74">
      <w:start w:val="1"/>
      <w:numFmt w:val="bullet"/>
      <w:lvlText w:val="-"/>
      <w:lvlJc w:val="left"/>
      <w:pPr>
        <w:ind w:left="720" w:hanging="360"/>
      </w:pPr>
      <w:rPr>
        <w:rFonts w:ascii="Aptos" w:hAnsi="Aptos" w:hint="default"/>
      </w:rPr>
    </w:lvl>
    <w:lvl w:ilvl="1" w:tplc="0B92367A">
      <w:start w:val="1"/>
      <w:numFmt w:val="bullet"/>
      <w:lvlText w:val="o"/>
      <w:lvlJc w:val="left"/>
      <w:pPr>
        <w:ind w:left="1440" w:hanging="360"/>
      </w:pPr>
      <w:rPr>
        <w:rFonts w:ascii="Courier New" w:hAnsi="Courier New" w:hint="default"/>
      </w:rPr>
    </w:lvl>
    <w:lvl w:ilvl="2" w:tplc="2DD216E0">
      <w:start w:val="1"/>
      <w:numFmt w:val="bullet"/>
      <w:lvlText w:val=""/>
      <w:lvlJc w:val="left"/>
      <w:pPr>
        <w:ind w:left="2160" w:hanging="360"/>
      </w:pPr>
      <w:rPr>
        <w:rFonts w:ascii="Wingdings" w:hAnsi="Wingdings" w:hint="default"/>
      </w:rPr>
    </w:lvl>
    <w:lvl w:ilvl="3" w:tplc="E9C013DA">
      <w:start w:val="1"/>
      <w:numFmt w:val="bullet"/>
      <w:lvlText w:val=""/>
      <w:lvlJc w:val="left"/>
      <w:pPr>
        <w:ind w:left="2880" w:hanging="360"/>
      </w:pPr>
      <w:rPr>
        <w:rFonts w:ascii="Symbol" w:hAnsi="Symbol" w:hint="default"/>
      </w:rPr>
    </w:lvl>
    <w:lvl w:ilvl="4" w:tplc="13726418">
      <w:start w:val="1"/>
      <w:numFmt w:val="bullet"/>
      <w:lvlText w:val="o"/>
      <w:lvlJc w:val="left"/>
      <w:pPr>
        <w:ind w:left="3600" w:hanging="360"/>
      </w:pPr>
      <w:rPr>
        <w:rFonts w:ascii="Courier New" w:hAnsi="Courier New" w:hint="default"/>
      </w:rPr>
    </w:lvl>
    <w:lvl w:ilvl="5" w:tplc="54940A90">
      <w:start w:val="1"/>
      <w:numFmt w:val="bullet"/>
      <w:lvlText w:val=""/>
      <w:lvlJc w:val="left"/>
      <w:pPr>
        <w:ind w:left="4320" w:hanging="360"/>
      </w:pPr>
      <w:rPr>
        <w:rFonts w:ascii="Wingdings" w:hAnsi="Wingdings" w:hint="default"/>
      </w:rPr>
    </w:lvl>
    <w:lvl w:ilvl="6" w:tplc="7D269B06">
      <w:start w:val="1"/>
      <w:numFmt w:val="bullet"/>
      <w:lvlText w:val=""/>
      <w:lvlJc w:val="left"/>
      <w:pPr>
        <w:ind w:left="5040" w:hanging="360"/>
      </w:pPr>
      <w:rPr>
        <w:rFonts w:ascii="Symbol" w:hAnsi="Symbol" w:hint="default"/>
      </w:rPr>
    </w:lvl>
    <w:lvl w:ilvl="7" w:tplc="AD868226">
      <w:start w:val="1"/>
      <w:numFmt w:val="bullet"/>
      <w:lvlText w:val="o"/>
      <w:lvlJc w:val="left"/>
      <w:pPr>
        <w:ind w:left="5760" w:hanging="360"/>
      </w:pPr>
      <w:rPr>
        <w:rFonts w:ascii="Courier New" w:hAnsi="Courier New" w:hint="default"/>
      </w:rPr>
    </w:lvl>
    <w:lvl w:ilvl="8" w:tplc="4A3C51FA">
      <w:start w:val="1"/>
      <w:numFmt w:val="bullet"/>
      <w:lvlText w:val=""/>
      <w:lvlJc w:val="left"/>
      <w:pPr>
        <w:ind w:left="6480" w:hanging="360"/>
      </w:pPr>
      <w:rPr>
        <w:rFonts w:ascii="Wingdings" w:hAnsi="Wingdings" w:hint="default"/>
      </w:rPr>
    </w:lvl>
  </w:abstractNum>
  <w:abstractNum w:abstractNumId="1" w15:restartNumberingAfterBreak="0">
    <w:nsid w:val="2BA50276"/>
    <w:multiLevelType w:val="hybridMultilevel"/>
    <w:tmpl w:val="6C78AB6E"/>
    <w:lvl w:ilvl="0" w:tplc="17D6CF64">
      <w:start w:val="1"/>
      <w:numFmt w:val="bullet"/>
      <w:lvlText w:val=""/>
      <w:lvlJc w:val="left"/>
      <w:pPr>
        <w:ind w:left="1080" w:hanging="360"/>
      </w:pPr>
      <w:rPr>
        <w:rFonts w:ascii="Symbol" w:hAnsi="Symbol" w:hint="default"/>
      </w:rPr>
    </w:lvl>
    <w:lvl w:ilvl="1" w:tplc="CAA0D25C">
      <w:start w:val="1"/>
      <w:numFmt w:val="bullet"/>
      <w:lvlText w:val="o"/>
      <w:lvlJc w:val="left"/>
      <w:pPr>
        <w:ind w:left="1800" w:hanging="360"/>
      </w:pPr>
      <w:rPr>
        <w:rFonts w:ascii="Courier New" w:hAnsi="Courier New" w:hint="default"/>
      </w:rPr>
    </w:lvl>
    <w:lvl w:ilvl="2" w:tplc="C47A012A">
      <w:start w:val="1"/>
      <w:numFmt w:val="bullet"/>
      <w:lvlText w:val=""/>
      <w:lvlJc w:val="left"/>
      <w:pPr>
        <w:ind w:left="2520" w:hanging="360"/>
      </w:pPr>
      <w:rPr>
        <w:rFonts w:ascii="Wingdings" w:hAnsi="Wingdings" w:hint="default"/>
      </w:rPr>
    </w:lvl>
    <w:lvl w:ilvl="3" w:tplc="E81C3396">
      <w:start w:val="1"/>
      <w:numFmt w:val="bullet"/>
      <w:lvlText w:val=""/>
      <w:lvlJc w:val="left"/>
      <w:pPr>
        <w:ind w:left="3240" w:hanging="360"/>
      </w:pPr>
      <w:rPr>
        <w:rFonts w:ascii="Symbol" w:hAnsi="Symbol" w:hint="default"/>
      </w:rPr>
    </w:lvl>
    <w:lvl w:ilvl="4" w:tplc="53BA7F78">
      <w:start w:val="1"/>
      <w:numFmt w:val="bullet"/>
      <w:lvlText w:val="o"/>
      <w:lvlJc w:val="left"/>
      <w:pPr>
        <w:ind w:left="3960" w:hanging="360"/>
      </w:pPr>
      <w:rPr>
        <w:rFonts w:ascii="Courier New" w:hAnsi="Courier New" w:hint="default"/>
      </w:rPr>
    </w:lvl>
    <w:lvl w:ilvl="5" w:tplc="A552DD60">
      <w:start w:val="1"/>
      <w:numFmt w:val="bullet"/>
      <w:lvlText w:val=""/>
      <w:lvlJc w:val="left"/>
      <w:pPr>
        <w:ind w:left="4680" w:hanging="360"/>
      </w:pPr>
      <w:rPr>
        <w:rFonts w:ascii="Wingdings" w:hAnsi="Wingdings" w:hint="default"/>
      </w:rPr>
    </w:lvl>
    <w:lvl w:ilvl="6" w:tplc="271487AC">
      <w:start w:val="1"/>
      <w:numFmt w:val="bullet"/>
      <w:lvlText w:val=""/>
      <w:lvlJc w:val="left"/>
      <w:pPr>
        <w:ind w:left="5400" w:hanging="360"/>
      </w:pPr>
      <w:rPr>
        <w:rFonts w:ascii="Symbol" w:hAnsi="Symbol" w:hint="default"/>
      </w:rPr>
    </w:lvl>
    <w:lvl w:ilvl="7" w:tplc="582AA4E8">
      <w:start w:val="1"/>
      <w:numFmt w:val="bullet"/>
      <w:lvlText w:val="o"/>
      <w:lvlJc w:val="left"/>
      <w:pPr>
        <w:ind w:left="6120" w:hanging="360"/>
      </w:pPr>
      <w:rPr>
        <w:rFonts w:ascii="Courier New" w:hAnsi="Courier New" w:hint="default"/>
      </w:rPr>
    </w:lvl>
    <w:lvl w:ilvl="8" w:tplc="088E7278">
      <w:start w:val="1"/>
      <w:numFmt w:val="bullet"/>
      <w:lvlText w:val=""/>
      <w:lvlJc w:val="left"/>
      <w:pPr>
        <w:ind w:left="6840" w:hanging="360"/>
      </w:pPr>
      <w:rPr>
        <w:rFonts w:ascii="Wingdings" w:hAnsi="Wingdings" w:hint="default"/>
      </w:rPr>
    </w:lvl>
  </w:abstractNum>
  <w:abstractNum w:abstractNumId="2" w15:restartNumberingAfterBreak="0">
    <w:nsid w:val="40493F9B"/>
    <w:multiLevelType w:val="hybridMultilevel"/>
    <w:tmpl w:val="650AABAE"/>
    <w:lvl w:ilvl="0" w:tplc="AEA6C8D4">
      <w:start w:val="1"/>
      <w:numFmt w:val="bullet"/>
      <w:lvlText w:val=""/>
      <w:lvlJc w:val="left"/>
      <w:pPr>
        <w:ind w:left="720" w:hanging="360"/>
      </w:pPr>
      <w:rPr>
        <w:rFonts w:ascii="Symbol" w:hAnsi="Symbol" w:hint="default"/>
      </w:rPr>
    </w:lvl>
    <w:lvl w:ilvl="1" w:tplc="E0B88ACE">
      <w:start w:val="1"/>
      <w:numFmt w:val="bullet"/>
      <w:lvlText w:val="o"/>
      <w:lvlJc w:val="left"/>
      <w:pPr>
        <w:ind w:left="1440" w:hanging="360"/>
      </w:pPr>
      <w:rPr>
        <w:rFonts w:ascii="Courier New" w:hAnsi="Courier New" w:hint="default"/>
      </w:rPr>
    </w:lvl>
    <w:lvl w:ilvl="2" w:tplc="7554B86C">
      <w:start w:val="1"/>
      <w:numFmt w:val="bullet"/>
      <w:lvlText w:val=""/>
      <w:lvlJc w:val="left"/>
      <w:pPr>
        <w:ind w:left="2160" w:hanging="360"/>
      </w:pPr>
      <w:rPr>
        <w:rFonts w:ascii="Wingdings" w:hAnsi="Wingdings" w:hint="default"/>
      </w:rPr>
    </w:lvl>
    <w:lvl w:ilvl="3" w:tplc="834450DE">
      <w:start w:val="1"/>
      <w:numFmt w:val="bullet"/>
      <w:lvlText w:val=""/>
      <w:lvlJc w:val="left"/>
      <w:pPr>
        <w:ind w:left="2880" w:hanging="360"/>
      </w:pPr>
      <w:rPr>
        <w:rFonts w:ascii="Symbol" w:hAnsi="Symbol" w:hint="default"/>
      </w:rPr>
    </w:lvl>
    <w:lvl w:ilvl="4" w:tplc="B98E317A">
      <w:start w:val="1"/>
      <w:numFmt w:val="bullet"/>
      <w:lvlText w:val="o"/>
      <w:lvlJc w:val="left"/>
      <w:pPr>
        <w:ind w:left="3600" w:hanging="360"/>
      </w:pPr>
      <w:rPr>
        <w:rFonts w:ascii="Courier New" w:hAnsi="Courier New" w:hint="default"/>
      </w:rPr>
    </w:lvl>
    <w:lvl w:ilvl="5" w:tplc="642E9564">
      <w:start w:val="1"/>
      <w:numFmt w:val="bullet"/>
      <w:lvlText w:val=""/>
      <w:lvlJc w:val="left"/>
      <w:pPr>
        <w:ind w:left="4320" w:hanging="360"/>
      </w:pPr>
      <w:rPr>
        <w:rFonts w:ascii="Wingdings" w:hAnsi="Wingdings" w:hint="default"/>
      </w:rPr>
    </w:lvl>
    <w:lvl w:ilvl="6" w:tplc="920408BE">
      <w:start w:val="1"/>
      <w:numFmt w:val="bullet"/>
      <w:lvlText w:val=""/>
      <w:lvlJc w:val="left"/>
      <w:pPr>
        <w:ind w:left="5040" w:hanging="360"/>
      </w:pPr>
      <w:rPr>
        <w:rFonts w:ascii="Symbol" w:hAnsi="Symbol" w:hint="default"/>
      </w:rPr>
    </w:lvl>
    <w:lvl w:ilvl="7" w:tplc="9F02BCA2">
      <w:start w:val="1"/>
      <w:numFmt w:val="bullet"/>
      <w:lvlText w:val="o"/>
      <w:lvlJc w:val="left"/>
      <w:pPr>
        <w:ind w:left="5760" w:hanging="360"/>
      </w:pPr>
      <w:rPr>
        <w:rFonts w:ascii="Courier New" w:hAnsi="Courier New" w:hint="default"/>
      </w:rPr>
    </w:lvl>
    <w:lvl w:ilvl="8" w:tplc="4860E07A">
      <w:start w:val="1"/>
      <w:numFmt w:val="bullet"/>
      <w:lvlText w:val=""/>
      <w:lvlJc w:val="left"/>
      <w:pPr>
        <w:ind w:left="6480" w:hanging="360"/>
      </w:pPr>
      <w:rPr>
        <w:rFonts w:ascii="Wingdings" w:hAnsi="Wingdings" w:hint="default"/>
      </w:rPr>
    </w:lvl>
  </w:abstractNum>
  <w:abstractNum w:abstractNumId="3" w15:restartNumberingAfterBreak="0">
    <w:nsid w:val="490578E4"/>
    <w:multiLevelType w:val="hybridMultilevel"/>
    <w:tmpl w:val="17E62D7E"/>
    <w:lvl w:ilvl="0" w:tplc="C6789BEC">
      <w:start w:val="1"/>
      <w:numFmt w:val="bullet"/>
      <w:lvlText w:val=""/>
      <w:lvlJc w:val="left"/>
      <w:pPr>
        <w:ind w:left="1080" w:hanging="360"/>
      </w:pPr>
      <w:rPr>
        <w:rFonts w:ascii="Symbol" w:hAnsi="Symbol" w:hint="default"/>
      </w:rPr>
    </w:lvl>
    <w:lvl w:ilvl="1" w:tplc="513260D6">
      <w:start w:val="1"/>
      <w:numFmt w:val="bullet"/>
      <w:lvlText w:val="o"/>
      <w:lvlJc w:val="left"/>
      <w:pPr>
        <w:ind w:left="1440" w:hanging="360"/>
      </w:pPr>
      <w:rPr>
        <w:rFonts w:ascii="Courier New" w:hAnsi="Courier New" w:hint="default"/>
      </w:rPr>
    </w:lvl>
    <w:lvl w:ilvl="2" w:tplc="7FE853B0">
      <w:start w:val="1"/>
      <w:numFmt w:val="bullet"/>
      <w:lvlText w:val=""/>
      <w:lvlJc w:val="left"/>
      <w:pPr>
        <w:ind w:left="2160" w:hanging="360"/>
      </w:pPr>
      <w:rPr>
        <w:rFonts w:ascii="Wingdings" w:hAnsi="Wingdings" w:hint="default"/>
      </w:rPr>
    </w:lvl>
    <w:lvl w:ilvl="3" w:tplc="11320D7A">
      <w:start w:val="1"/>
      <w:numFmt w:val="bullet"/>
      <w:lvlText w:val=""/>
      <w:lvlJc w:val="left"/>
      <w:pPr>
        <w:ind w:left="2880" w:hanging="360"/>
      </w:pPr>
      <w:rPr>
        <w:rFonts w:ascii="Symbol" w:hAnsi="Symbol" w:hint="default"/>
      </w:rPr>
    </w:lvl>
    <w:lvl w:ilvl="4" w:tplc="3CECB2CE">
      <w:start w:val="1"/>
      <w:numFmt w:val="bullet"/>
      <w:lvlText w:val="o"/>
      <w:lvlJc w:val="left"/>
      <w:pPr>
        <w:ind w:left="3600" w:hanging="360"/>
      </w:pPr>
      <w:rPr>
        <w:rFonts w:ascii="Courier New" w:hAnsi="Courier New" w:hint="default"/>
      </w:rPr>
    </w:lvl>
    <w:lvl w:ilvl="5" w:tplc="206A0CFA">
      <w:start w:val="1"/>
      <w:numFmt w:val="bullet"/>
      <w:lvlText w:val=""/>
      <w:lvlJc w:val="left"/>
      <w:pPr>
        <w:ind w:left="4320" w:hanging="360"/>
      </w:pPr>
      <w:rPr>
        <w:rFonts w:ascii="Wingdings" w:hAnsi="Wingdings" w:hint="default"/>
      </w:rPr>
    </w:lvl>
    <w:lvl w:ilvl="6" w:tplc="49DA9688">
      <w:start w:val="1"/>
      <w:numFmt w:val="bullet"/>
      <w:lvlText w:val=""/>
      <w:lvlJc w:val="left"/>
      <w:pPr>
        <w:ind w:left="5040" w:hanging="360"/>
      </w:pPr>
      <w:rPr>
        <w:rFonts w:ascii="Symbol" w:hAnsi="Symbol" w:hint="default"/>
      </w:rPr>
    </w:lvl>
    <w:lvl w:ilvl="7" w:tplc="5AFCF8BA">
      <w:start w:val="1"/>
      <w:numFmt w:val="bullet"/>
      <w:lvlText w:val="o"/>
      <w:lvlJc w:val="left"/>
      <w:pPr>
        <w:ind w:left="5760" w:hanging="360"/>
      </w:pPr>
      <w:rPr>
        <w:rFonts w:ascii="Courier New" w:hAnsi="Courier New" w:hint="default"/>
      </w:rPr>
    </w:lvl>
    <w:lvl w:ilvl="8" w:tplc="9F04FD70">
      <w:start w:val="1"/>
      <w:numFmt w:val="bullet"/>
      <w:lvlText w:val=""/>
      <w:lvlJc w:val="left"/>
      <w:pPr>
        <w:ind w:left="6480" w:hanging="360"/>
      </w:pPr>
      <w:rPr>
        <w:rFonts w:ascii="Wingdings" w:hAnsi="Wingdings" w:hint="default"/>
      </w:rPr>
    </w:lvl>
  </w:abstractNum>
  <w:abstractNum w:abstractNumId="4" w15:restartNumberingAfterBreak="0">
    <w:nsid w:val="4DDA6B03"/>
    <w:multiLevelType w:val="hybridMultilevel"/>
    <w:tmpl w:val="F568416A"/>
    <w:lvl w:ilvl="0" w:tplc="E5128126">
      <w:start w:val="1"/>
      <w:numFmt w:val="bullet"/>
      <w:lvlText w:val=""/>
      <w:lvlJc w:val="left"/>
      <w:pPr>
        <w:ind w:left="1080" w:hanging="360"/>
      </w:pPr>
      <w:rPr>
        <w:rFonts w:ascii="Symbol" w:hAnsi="Symbol" w:hint="default"/>
      </w:rPr>
    </w:lvl>
    <w:lvl w:ilvl="1" w:tplc="1A466728">
      <w:start w:val="1"/>
      <w:numFmt w:val="bullet"/>
      <w:lvlText w:val="o"/>
      <w:lvlJc w:val="left"/>
      <w:pPr>
        <w:ind w:left="1440" w:hanging="360"/>
      </w:pPr>
      <w:rPr>
        <w:rFonts w:ascii="Courier New" w:hAnsi="Courier New" w:hint="default"/>
      </w:rPr>
    </w:lvl>
    <w:lvl w:ilvl="2" w:tplc="FA960F12">
      <w:start w:val="1"/>
      <w:numFmt w:val="bullet"/>
      <w:lvlText w:val=""/>
      <w:lvlJc w:val="left"/>
      <w:pPr>
        <w:ind w:left="2160" w:hanging="360"/>
      </w:pPr>
      <w:rPr>
        <w:rFonts w:ascii="Wingdings" w:hAnsi="Wingdings" w:hint="default"/>
      </w:rPr>
    </w:lvl>
    <w:lvl w:ilvl="3" w:tplc="68527472">
      <w:start w:val="1"/>
      <w:numFmt w:val="bullet"/>
      <w:lvlText w:val=""/>
      <w:lvlJc w:val="left"/>
      <w:pPr>
        <w:ind w:left="2880" w:hanging="360"/>
      </w:pPr>
      <w:rPr>
        <w:rFonts w:ascii="Symbol" w:hAnsi="Symbol" w:hint="default"/>
      </w:rPr>
    </w:lvl>
    <w:lvl w:ilvl="4" w:tplc="AE6E3292">
      <w:start w:val="1"/>
      <w:numFmt w:val="bullet"/>
      <w:lvlText w:val="o"/>
      <w:lvlJc w:val="left"/>
      <w:pPr>
        <w:ind w:left="3600" w:hanging="360"/>
      </w:pPr>
      <w:rPr>
        <w:rFonts w:ascii="Courier New" w:hAnsi="Courier New" w:hint="default"/>
      </w:rPr>
    </w:lvl>
    <w:lvl w:ilvl="5" w:tplc="7A663B36">
      <w:start w:val="1"/>
      <w:numFmt w:val="bullet"/>
      <w:lvlText w:val=""/>
      <w:lvlJc w:val="left"/>
      <w:pPr>
        <w:ind w:left="4320" w:hanging="360"/>
      </w:pPr>
      <w:rPr>
        <w:rFonts w:ascii="Wingdings" w:hAnsi="Wingdings" w:hint="default"/>
      </w:rPr>
    </w:lvl>
    <w:lvl w:ilvl="6" w:tplc="DBF8474C">
      <w:start w:val="1"/>
      <w:numFmt w:val="bullet"/>
      <w:lvlText w:val=""/>
      <w:lvlJc w:val="left"/>
      <w:pPr>
        <w:ind w:left="5040" w:hanging="360"/>
      </w:pPr>
      <w:rPr>
        <w:rFonts w:ascii="Symbol" w:hAnsi="Symbol" w:hint="default"/>
      </w:rPr>
    </w:lvl>
    <w:lvl w:ilvl="7" w:tplc="835E4310">
      <w:start w:val="1"/>
      <w:numFmt w:val="bullet"/>
      <w:lvlText w:val="o"/>
      <w:lvlJc w:val="left"/>
      <w:pPr>
        <w:ind w:left="5760" w:hanging="360"/>
      </w:pPr>
      <w:rPr>
        <w:rFonts w:ascii="Courier New" w:hAnsi="Courier New" w:hint="default"/>
      </w:rPr>
    </w:lvl>
    <w:lvl w:ilvl="8" w:tplc="4B464A42">
      <w:start w:val="1"/>
      <w:numFmt w:val="bullet"/>
      <w:lvlText w:val=""/>
      <w:lvlJc w:val="left"/>
      <w:pPr>
        <w:ind w:left="6480" w:hanging="360"/>
      </w:pPr>
      <w:rPr>
        <w:rFonts w:ascii="Wingdings" w:hAnsi="Wingdings" w:hint="default"/>
      </w:rPr>
    </w:lvl>
  </w:abstractNum>
  <w:abstractNum w:abstractNumId="5" w15:restartNumberingAfterBreak="0">
    <w:nsid w:val="683CE11A"/>
    <w:multiLevelType w:val="hybridMultilevel"/>
    <w:tmpl w:val="A034935E"/>
    <w:lvl w:ilvl="0" w:tplc="E89C4F3C">
      <w:start w:val="1"/>
      <w:numFmt w:val="bullet"/>
      <w:lvlText w:val=""/>
      <w:lvlJc w:val="left"/>
      <w:pPr>
        <w:ind w:left="1080" w:hanging="360"/>
      </w:pPr>
      <w:rPr>
        <w:rFonts w:ascii="Symbol" w:hAnsi="Symbol" w:hint="default"/>
      </w:rPr>
    </w:lvl>
    <w:lvl w:ilvl="1" w:tplc="4978089E">
      <w:start w:val="1"/>
      <w:numFmt w:val="bullet"/>
      <w:lvlText w:val="o"/>
      <w:lvlJc w:val="left"/>
      <w:pPr>
        <w:ind w:left="1800" w:hanging="360"/>
      </w:pPr>
      <w:rPr>
        <w:rFonts w:ascii="Courier New" w:hAnsi="Courier New" w:hint="default"/>
      </w:rPr>
    </w:lvl>
    <w:lvl w:ilvl="2" w:tplc="E9306EF8">
      <w:start w:val="1"/>
      <w:numFmt w:val="bullet"/>
      <w:lvlText w:val=""/>
      <w:lvlJc w:val="left"/>
      <w:pPr>
        <w:ind w:left="2520" w:hanging="360"/>
      </w:pPr>
      <w:rPr>
        <w:rFonts w:ascii="Wingdings" w:hAnsi="Wingdings" w:hint="default"/>
      </w:rPr>
    </w:lvl>
    <w:lvl w:ilvl="3" w:tplc="98A8F57A">
      <w:start w:val="1"/>
      <w:numFmt w:val="bullet"/>
      <w:lvlText w:val=""/>
      <w:lvlJc w:val="left"/>
      <w:pPr>
        <w:ind w:left="3240" w:hanging="360"/>
      </w:pPr>
      <w:rPr>
        <w:rFonts w:ascii="Symbol" w:hAnsi="Symbol" w:hint="default"/>
      </w:rPr>
    </w:lvl>
    <w:lvl w:ilvl="4" w:tplc="F56E0D14">
      <w:start w:val="1"/>
      <w:numFmt w:val="bullet"/>
      <w:lvlText w:val="o"/>
      <w:lvlJc w:val="left"/>
      <w:pPr>
        <w:ind w:left="3960" w:hanging="360"/>
      </w:pPr>
      <w:rPr>
        <w:rFonts w:ascii="Courier New" w:hAnsi="Courier New" w:hint="default"/>
      </w:rPr>
    </w:lvl>
    <w:lvl w:ilvl="5" w:tplc="FC168BA2">
      <w:start w:val="1"/>
      <w:numFmt w:val="bullet"/>
      <w:lvlText w:val=""/>
      <w:lvlJc w:val="left"/>
      <w:pPr>
        <w:ind w:left="4680" w:hanging="360"/>
      </w:pPr>
      <w:rPr>
        <w:rFonts w:ascii="Wingdings" w:hAnsi="Wingdings" w:hint="default"/>
      </w:rPr>
    </w:lvl>
    <w:lvl w:ilvl="6" w:tplc="30F6BF0C">
      <w:start w:val="1"/>
      <w:numFmt w:val="bullet"/>
      <w:lvlText w:val=""/>
      <w:lvlJc w:val="left"/>
      <w:pPr>
        <w:ind w:left="5400" w:hanging="360"/>
      </w:pPr>
      <w:rPr>
        <w:rFonts w:ascii="Symbol" w:hAnsi="Symbol" w:hint="default"/>
      </w:rPr>
    </w:lvl>
    <w:lvl w:ilvl="7" w:tplc="AA12E47C">
      <w:start w:val="1"/>
      <w:numFmt w:val="bullet"/>
      <w:lvlText w:val="o"/>
      <w:lvlJc w:val="left"/>
      <w:pPr>
        <w:ind w:left="6120" w:hanging="360"/>
      </w:pPr>
      <w:rPr>
        <w:rFonts w:ascii="Courier New" w:hAnsi="Courier New" w:hint="default"/>
      </w:rPr>
    </w:lvl>
    <w:lvl w:ilvl="8" w:tplc="2EA86518">
      <w:start w:val="1"/>
      <w:numFmt w:val="bullet"/>
      <w:lvlText w:val=""/>
      <w:lvlJc w:val="left"/>
      <w:pPr>
        <w:ind w:left="6840" w:hanging="360"/>
      </w:pPr>
      <w:rPr>
        <w:rFonts w:ascii="Wingdings" w:hAnsi="Wingdings" w:hint="default"/>
      </w:rPr>
    </w:lvl>
  </w:abstractNum>
  <w:abstractNum w:abstractNumId="6" w15:restartNumberingAfterBreak="0">
    <w:nsid w:val="704DE688"/>
    <w:multiLevelType w:val="hybridMultilevel"/>
    <w:tmpl w:val="E8303F5E"/>
    <w:lvl w:ilvl="0" w:tplc="49CC6F20">
      <w:start w:val="1"/>
      <w:numFmt w:val="bullet"/>
      <w:lvlText w:val=""/>
      <w:lvlJc w:val="left"/>
      <w:pPr>
        <w:ind w:left="720" w:hanging="360"/>
      </w:pPr>
      <w:rPr>
        <w:rFonts w:ascii="Symbol" w:hAnsi="Symbol" w:hint="default"/>
      </w:rPr>
    </w:lvl>
    <w:lvl w:ilvl="1" w:tplc="C17C6E0E">
      <w:start w:val="1"/>
      <w:numFmt w:val="bullet"/>
      <w:lvlText w:val="o"/>
      <w:lvlJc w:val="left"/>
      <w:pPr>
        <w:ind w:left="1440" w:hanging="360"/>
      </w:pPr>
      <w:rPr>
        <w:rFonts w:ascii="Courier New" w:hAnsi="Courier New" w:hint="default"/>
      </w:rPr>
    </w:lvl>
    <w:lvl w:ilvl="2" w:tplc="A69883DA">
      <w:start w:val="1"/>
      <w:numFmt w:val="bullet"/>
      <w:lvlText w:val=""/>
      <w:lvlJc w:val="left"/>
      <w:pPr>
        <w:ind w:left="2160" w:hanging="360"/>
      </w:pPr>
      <w:rPr>
        <w:rFonts w:ascii="Wingdings" w:hAnsi="Wingdings" w:hint="default"/>
      </w:rPr>
    </w:lvl>
    <w:lvl w:ilvl="3" w:tplc="A8BEF804">
      <w:start w:val="1"/>
      <w:numFmt w:val="bullet"/>
      <w:lvlText w:val=""/>
      <w:lvlJc w:val="left"/>
      <w:pPr>
        <w:ind w:left="2880" w:hanging="360"/>
      </w:pPr>
      <w:rPr>
        <w:rFonts w:ascii="Symbol" w:hAnsi="Symbol" w:hint="default"/>
      </w:rPr>
    </w:lvl>
    <w:lvl w:ilvl="4" w:tplc="34BC9D6E">
      <w:start w:val="1"/>
      <w:numFmt w:val="bullet"/>
      <w:lvlText w:val="o"/>
      <w:lvlJc w:val="left"/>
      <w:pPr>
        <w:ind w:left="3600" w:hanging="360"/>
      </w:pPr>
      <w:rPr>
        <w:rFonts w:ascii="Courier New" w:hAnsi="Courier New" w:hint="default"/>
      </w:rPr>
    </w:lvl>
    <w:lvl w:ilvl="5" w:tplc="0B6EC1B6">
      <w:start w:val="1"/>
      <w:numFmt w:val="bullet"/>
      <w:lvlText w:val=""/>
      <w:lvlJc w:val="left"/>
      <w:pPr>
        <w:ind w:left="4320" w:hanging="360"/>
      </w:pPr>
      <w:rPr>
        <w:rFonts w:ascii="Wingdings" w:hAnsi="Wingdings" w:hint="default"/>
      </w:rPr>
    </w:lvl>
    <w:lvl w:ilvl="6" w:tplc="10167F92">
      <w:start w:val="1"/>
      <w:numFmt w:val="bullet"/>
      <w:lvlText w:val=""/>
      <w:lvlJc w:val="left"/>
      <w:pPr>
        <w:ind w:left="5040" w:hanging="360"/>
      </w:pPr>
      <w:rPr>
        <w:rFonts w:ascii="Symbol" w:hAnsi="Symbol" w:hint="default"/>
      </w:rPr>
    </w:lvl>
    <w:lvl w:ilvl="7" w:tplc="82B62658">
      <w:start w:val="1"/>
      <w:numFmt w:val="bullet"/>
      <w:lvlText w:val="o"/>
      <w:lvlJc w:val="left"/>
      <w:pPr>
        <w:ind w:left="5760" w:hanging="360"/>
      </w:pPr>
      <w:rPr>
        <w:rFonts w:ascii="Courier New" w:hAnsi="Courier New" w:hint="default"/>
      </w:rPr>
    </w:lvl>
    <w:lvl w:ilvl="8" w:tplc="5636BA84">
      <w:start w:val="1"/>
      <w:numFmt w:val="bullet"/>
      <w:lvlText w:val=""/>
      <w:lvlJc w:val="left"/>
      <w:pPr>
        <w:ind w:left="6480" w:hanging="360"/>
      </w:pPr>
      <w:rPr>
        <w:rFonts w:ascii="Wingdings" w:hAnsi="Wingdings" w:hint="default"/>
      </w:rPr>
    </w:lvl>
  </w:abstractNum>
  <w:num w:numId="1" w16cid:durableId="1487623979">
    <w:abstractNumId w:val="3"/>
  </w:num>
  <w:num w:numId="2" w16cid:durableId="317348662">
    <w:abstractNumId w:val="4"/>
  </w:num>
  <w:num w:numId="3" w16cid:durableId="1588811160">
    <w:abstractNumId w:val="1"/>
  </w:num>
  <w:num w:numId="4" w16cid:durableId="993606570">
    <w:abstractNumId w:val="5"/>
  </w:num>
  <w:num w:numId="5" w16cid:durableId="1644045958">
    <w:abstractNumId w:val="6"/>
  </w:num>
  <w:num w:numId="6" w16cid:durableId="2117090626">
    <w:abstractNumId w:val="2"/>
  </w:num>
  <w:num w:numId="7" w16cid:durableId="18039649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B21F004"/>
    <w:rsid w:val="00080B2A"/>
    <w:rsid w:val="00825F0B"/>
    <w:rsid w:val="043CC2AC"/>
    <w:rsid w:val="04F71B3B"/>
    <w:rsid w:val="05BD6863"/>
    <w:rsid w:val="0C2A49E3"/>
    <w:rsid w:val="0C83016C"/>
    <w:rsid w:val="0F624B4A"/>
    <w:rsid w:val="11413B9C"/>
    <w:rsid w:val="117ACFE0"/>
    <w:rsid w:val="1ECC7B4B"/>
    <w:rsid w:val="21231925"/>
    <w:rsid w:val="2157B670"/>
    <w:rsid w:val="271DCA29"/>
    <w:rsid w:val="27DBC469"/>
    <w:rsid w:val="293F287C"/>
    <w:rsid w:val="2A898C5C"/>
    <w:rsid w:val="2C3CFE81"/>
    <w:rsid w:val="3078F691"/>
    <w:rsid w:val="33A596F5"/>
    <w:rsid w:val="35768E11"/>
    <w:rsid w:val="369F34C4"/>
    <w:rsid w:val="38CECF47"/>
    <w:rsid w:val="3B13C9D0"/>
    <w:rsid w:val="3C26F0C2"/>
    <w:rsid w:val="4194CB47"/>
    <w:rsid w:val="49DEFA48"/>
    <w:rsid w:val="4B21F004"/>
    <w:rsid w:val="50489327"/>
    <w:rsid w:val="514A2DEB"/>
    <w:rsid w:val="56B1AA8D"/>
    <w:rsid w:val="58688004"/>
    <w:rsid w:val="59D5087C"/>
    <w:rsid w:val="5A498C9B"/>
    <w:rsid w:val="5B181540"/>
    <w:rsid w:val="6056B5FA"/>
    <w:rsid w:val="60D1074D"/>
    <w:rsid w:val="63B68AF3"/>
    <w:rsid w:val="646B59E7"/>
    <w:rsid w:val="682BFAAC"/>
    <w:rsid w:val="6AA80667"/>
    <w:rsid w:val="6EF3C082"/>
    <w:rsid w:val="72740EB3"/>
    <w:rsid w:val="72C61C05"/>
    <w:rsid w:val="740D1B4B"/>
    <w:rsid w:val="76675893"/>
    <w:rsid w:val="7F2CB4AA"/>
    <w:rsid w:val="7F6EED4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21F004"/>
  <w15:chartTrackingRefBased/>
  <w15:docId w15:val="{3C9D5A1A-51A4-4050-AC1B-D832B122B7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de-DE"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rsid w:val="35768E1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uiPriority w:val="9"/>
    <w:unhideWhenUsed/>
    <w:qFormat/>
    <w:rsid w:val="50489327"/>
    <w:pPr>
      <w:keepNext/>
      <w:keepLines/>
      <w:spacing w:before="160" w:after="80"/>
      <w:outlineLvl w:val="1"/>
    </w:pPr>
    <w:rPr>
      <w:rFonts w:asciiTheme="majorHAnsi" w:eastAsiaTheme="minorEastAsia" w:hAnsiTheme="majorHAnsi" w:cstheme="majorEastAsia"/>
      <w:color w:val="0F4761" w:themeColor="accent1" w:themeShade="BF"/>
      <w:sz w:val="32"/>
      <w:szCs w:val="32"/>
    </w:rPr>
  </w:style>
  <w:style w:type="paragraph" w:styleId="Ttulo3">
    <w:name w:val="heading 3"/>
    <w:basedOn w:val="Normal"/>
    <w:next w:val="Normal"/>
    <w:uiPriority w:val="9"/>
    <w:unhideWhenUsed/>
    <w:qFormat/>
    <w:rsid w:val="50489327"/>
    <w:pPr>
      <w:keepNext/>
      <w:keepLines/>
      <w:spacing w:before="160" w:after="80"/>
      <w:outlineLvl w:val="2"/>
    </w:pPr>
    <w:rPr>
      <w:rFonts w:eastAsiaTheme="minorEastAsia" w:cstheme="majorEastAsia"/>
      <w:color w:val="0F476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50489327"/>
    <w:pPr>
      <w:ind w:left="720"/>
      <w:contextualSpacing/>
    </w:pPr>
  </w:style>
  <w:style w:type="table" w:styleId="Tablaconcuadrcula">
    <w:name w:val="Table Grid"/>
    <w:basedOn w:val="Tabla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Ttulo">
    <w:name w:val="Title"/>
    <w:basedOn w:val="Normal"/>
    <w:next w:val="Normal"/>
    <w:uiPriority w:val="10"/>
    <w:qFormat/>
    <w:rsid w:val="35768E11"/>
    <w:pPr>
      <w:spacing w:after="80" w:line="240" w:lineRule="auto"/>
      <w:contextualSpacing/>
    </w:pPr>
    <w:rPr>
      <w:rFonts w:asciiTheme="majorHAnsi" w:eastAsiaTheme="majorEastAsia" w:hAnsiTheme="majorHAnsi" w:cstheme="majorBidi"/>
      <w:sz w:val="56"/>
      <w:szCs w:val="56"/>
    </w:rPr>
  </w:style>
  <w:style w:type="character" w:styleId="Hipervnculo">
    <w:name w:val="Hyperlink"/>
    <w:basedOn w:val="Fuentedeprrafopredeter"/>
    <w:uiPriority w:val="99"/>
    <w:unhideWhenUsed/>
    <w:rsid w:val="21231925"/>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commons.wikimedia.org/wiki/File:Bag_of_flour162.jpg"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3.jpg"/><Relationship Id="rId5" Type="http://schemas.openxmlformats.org/officeDocument/2006/relationships/styles" Target="styles.xml"/><Relationship Id="rId10" Type="http://schemas.openxmlformats.org/officeDocument/2006/relationships/hyperlink" Target="https://commons.wikimedia.org/wiki/File:Basmati_Rice_Bag_%2849906485468%29.jpg" TargetMode="External"/><Relationship Id="rId4" Type="http://schemas.openxmlformats.org/officeDocument/2006/relationships/numbering" Target="numbering.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c2c2904-4ea2-47eb-9030-0d860627b102">
      <Terms xmlns="http://schemas.microsoft.com/office/infopath/2007/PartnerControls"/>
    </lcf76f155ced4ddcb4097134ff3c332f>
    <TaxCatchAll xmlns="07a7630b-ffb1-44d3-803b-f3a2b9d9301b"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20F1672B4FC6664FB1ED584E00E82533" ma:contentTypeVersion="15" ma:contentTypeDescription="Crear nuevo documento." ma:contentTypeScope="" ma:versionID="9a236a8ca43f1941bd28a135b099625d">
  <xsd:schema xmlns:xsd="http://www.w3.org/2001/XMLSchema" xmlns:xs="http://www.w3.org/2001/XMLSchema" xmlns:p="http://schemas.microsoft.com/office/2006/metadata/properties" xmlns:ns2="5c2c2904-4ea2-47eb-9030-0d860627b102" xmlns:ns3="07a7630b-ffb1-44d3-803b-f3a2b9d9301b" targetNamespace="http://schemas.microsoft.com/office/2006/metadata/properties" ma:root="true" ma:fieldsID="2b9281f74eb1f6969aa432f1d5f6874d" ns2:_="" ns3:_="">
    <xsd:import namespace="5c2c2904-4ea2-47eb-9030-0d860627b102"/>
    <xsd:import namespace="07a7630b-ffb1-44d3-803b-f3a2b9d9301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3:SharedWithUsers" minOccurs="0"/>
                <xsd:element ref="ns3:SharedWithDetails"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2c2904-4ea2-47eb-9030-0d860627b10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Etiquetas de imagen" ma:readOnly="false" ma:fieldId="{5cf76f15-5ced-4ddc-b409-7134ff3c332f}" ma:taxonomyMulti="true" ma:sspId="f3c0d9d0-1c00-41a4-b251-1bc46e8b8db6"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7a7630b-ffb1-44d3-803b-f3a2b9d9301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80ee5f3-68f0-4fb3-9156-0eebf8b01fba}" ma:internalName="TaxCatchAll" ma:showField="CatchAllData" ma:web="07a7630b-ffb1-44d3-803b-f3a2b9d9301b">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7AFF896-156B-40BA-B995-7BAF1DC204A9}">
  <ds:schemaRefs>
    <ds:schemaRef ds:uri="http://schemas.microsoft.com/office/2006/metadata/properties"/>
    <ds:schemaRef ds:uri="http://schemas.microsoft.com/office/infopath/2007/PartnerControls"/>
    <ds:schemaRef ds:uri="5c2c2904-4ea2-47eb-9030-0d860627b102"/>
    <ds:schemaRef ds:uri="07a7630b-ffb1-44d3-803b-f3a2b9d9301b"/>
  </ds:schemaRefs>
</ds:datastoreItem>
</file>

<file path=customXml/itemProps2.xml><?xml version="1.0" encoding="utf-8"?>
<ds:datastoreItem xmlns:ds="http://schemas.openxmlformats.org/officeDocument/2006/customXml" ds:itemID="{9B2698C5-650B-4974-BAAA-57B3FE3FA68D}">
  <ds:schemaRefs>
    <ds:schemaRef ds:uri="http://schemas.microsoft.com/sharepoint/v3/contenttype/forms"/>
  </ds:schemaRefs>
</ds:datastoreItem>
</file>

<file path=customXml/itemProps3.xml><?xml version="1.0" encoding="utf-8"?>
<ds:datastoreItem xmlns:ds="http://schemas.openxmlformats.org/officeDocument/2006/customXml" ds:itemID="{7157A0EC-8A37-4443-97AE-FCD5B68AC7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2c2904-4ea2-47eb-9030-0d860627b102"/>
    <ds:schemaRef ds:uri="07a7630b-ffb1-44d3-803b-f3a2b9d9301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1091</Words>
  <Characters>6001</Characters>
  <Application>Microsoft Office Word</Application>
  <DocSecurity>0</DocSecurity>
  <Lines>50</Lines>
  <Paragraphs>14</Paragraphs>
  <ScaleCrop>false</ScaleCrop>
  <Company/>
  <LinksUpToDate>false</LinksUpToDate>
  <CharactersWithSpaces>7078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Rosenow, Phil</dc:creator>
  <cp:keywords/>
  <dc:description/>
  <cp:lastModifiedBy>Lidia Moscardó</cp:lastModifiedBy>
  <cp:revision>2</cp:revision>
  <dcterms:created xsi:type="dcterms:W3CDTF">2025-07-07T11:25:00Z</dcterms:created>
  <dcterms:modified xsi:type="dcterms:W3CDTF">2026-09-14T10:44:00Z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0x01010020F1672B4FC6664FB1ED584E00E82533</vt:lpwstr>
  </property>
  <property fmtid="{D5CDD505-2E9C-101B-9397-08002B2CF9AE}" pid="3" name="MediaServiceImageTags">
    <vt:lpwstr/>
  </property>
</Properties>
</file>