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07358" w14:textId="37F04FDD" w:rsidR="002621B1" w:rsidRPr="00885182" w:rsidRDefault="21EE7615" w:rsidP="3BE4CE4A">
      <w:pPr>
        <w:pStyle w:val="Ttulo2"/>
        <w:shd w:val="clear" w:color="auto" w:fill="FFFFFF" w:themeFill="background1"/>
        <w:spacing w:before="0" w:after="150" w:line="276" w:lineRule="auto"/>
        <w:jc w:val="left"/>
        <w:rPr>
          <w:rFonts w:ascii="Arial" w:hAnsi="Arial" w:cs="Arial"/>
          <w:sz w:val="36"/>
          <w:szCs w:val="36"/>
        </w:rPr>
      </w:pPr>
      <w:r>
        <w:rPr>
          <w:rFonts w:ascii="Arial" w:hAnsi="Arial" w:eastAsia="Arial"/>
          <w:b/>
          <w:color w:val="0A4149"/>
          <w:sz w:val="36"/>
        </w:rPr>
        <w:t>GUIDE TO WHAT CAN BE RECYCLED, COMPOSTED OR DISPOSED OF AS GENERAL WASTE</w:t>
      </w:r>
    </w:p>
    <w:p w14:paraId="75639A11" w14:textId="7E991C3F" w:rsidR="21EE7615" w:rsidRPr="00885182" w:rsidRDefault="21EE7615" w:rsidP="225EA9A8">
      <w:pPr>
        <w:shd w:val="clear" w:color="auto" w:fill="FFFFFF" w:themeFill="background1"/>
        <w:spacing w:after="150" w:line="276" w:lineRule="auto"/>
        <w:jc w:val="both"/>
        <w:rPr>
          <w:rFonts w:ascii="Arial" w:hAnsi="Arial" w:cs="Arial"/>
        </w:rPr>
      </w:pPr>
      <w:r>
        <w:rPr>
          <w:rFonts w:ascii="Arial" w:hAnsi="Arial" w:eastAsia="Arial"/>
          <w:b w:val="0"/>
          <w:sz w:val="24"/>
        </w:rPr>
        <w:t>If you have reached this article, it is because you are aware that packaging is present in every aspect of our daily lives.</w:t>
      </w:r>
    </w:p>
    <w:p w14:paraId="4946321C" w14:textId="6281FDE6" w:rsidR="21EE7615" w:rsidRDefault="21EE7615" w:rsidP="225EA9A8">
      <w:pPr>
        <w:shd w:val="clear" w:color="auto" w:fill="FFFFFF" w:themeFill="background1"/>
        <w:spacing w:after="150" w:line="276" w:lineRule="auto"/>
        <w:jc w:val="both"/>
        <w:rPr>
          <w:rFonts w:ascii="Arial" w:eastAsia="Encode Sans" w:hAnsi="Arial" w:cs="Arial"/>
          <w:b/>
          <w:bCs/>
          <w:color w:val="333333"/>
          <w:lang w:val="en-GB"/>
        </w:rPr>
      </w:pPr>
      <w:r>
        <w:rPr>
          <w:rFonts w:ascii="Arial" w:hAnsi="Arial" w:eastAsia="Arial"/>
          <w:b w:val="0"/>
          <w:sz w:val="24"/>
        </w:rPr>
        <w:t>It protects our food, keeps products safe during transport and carries the information we need to make purchasing decisions. However, it also generates a great deal of pollution. Once packaging has served its purpose, it often becomes a source of confusion. Millions of tonnes of packaging waste are generated across Europe every year, and a large proportion still ends up in landfill or polluting the environment. The problem is not only the amount of waste, but also the uncertainty many people face when deciding what should go in the recycling bin, what can be composted and what should be disposed of as general waste. This article looks at the current packaging landscape and offers practical guidance on how to dispose of it responsibly.</w:t>
      </w:r>
    </w:p>
    <w:p w14:paraId="6E50810A" w14:textId="77777777" w:rsidR="00885182" w:rsidRPr="00885182" w:rsidRDefault="00885182" w:rsidP="225EA9A8">
      <w:pPr>
        <w:shd w:val="clear" w:color="auto" w:fill="FFFFFF" w:themeFill="background1"/>
        <w:spacing w:after="150" w:line="276" w:lineRule="auto"/>
        <w:jc w:val="both"/>
        <w:rPr>
          <w:rFonts w:ascii="Arial" w:hAnsi="Arial" w:cs="Arial"/>
        </w:rPr>
      </w:pPr>
    </w:p>
    <w:p w14:paraId="7C069D93" w14:textId="61215941" w:rsidR="21EE7615" w:rsidRPr="00885182" w:rsidRDefault="21EE7615" w:rsidP="225EA9A8">
      <w:pPr>
        <w:pStyle w:val="Ttulo3"/>
        <w:shd w:val="clear" w:color="auto" w:fill="FFFFFF" w:themeFill="background1"/>
        <w:spacing w:before="0" w:after="150" w:line="276" w:lineRule="auto"/>
        <w:jc w:val="left"/>
        <w:rPr>
          <w:rFonts w:ascii="Arial" w:eastAsia="Helvetica" w:hAnsi="Arial" w:cs="Arial"/>
          <w:b/>
          <w:bCs/>
          <w:caps/>
          <w:color w:val="0A4149"/>
          <w:lang w:val="en-GB"/>
        </w:rPr>
      </w:pPr>
      <w:r>
        <w:rPr>
          <w:rFonts w:ascii="Arial" w:hAnsi="Arial" w:eastAsia="Arial"/>
          <w:b/>
          <w:color w:val="0A4149"/>
          <w:sz w:val="28"/>
        </w:rPr>
        <w:t>THE CURRENT PACKAGING LANDSCAPE</w:t>
      </w:r>
    </w:p>
    <w:p w14:paraId="204BF45A" w14:textId="6CFC2F59" w:rsidR="21EE7615" w:rsidRPr="00885182" w:rsidRDefault="21EE7615" w:rsidP="225EA9A8">
      <w:pPr>
        <w:pStyle w:val="Prrafodelista"/>
        <w:numPr>
          <w:ilvl w:val="0"/>
          <w:numId w:val="1"/>
        </w:numPr>
        <w:shd w:val="clear" w:color="auto" w:fill="FFFFFF" w:themeFill="background1"/>
        <w:spacing w:after="150" w:line="276" w:lineRule="auto"/>
        <w:jc w:val="both"/>
        <w:rPr>
          <w:rFonts w:ascii="Arial" w:eastAsia="Encode Sans" w:hAnsi="Arial" w:cs="Arial"/>
          <w:color w:val="333333"/>
          <w:lang w:val="en-GB"/>
        </w:rPr>
      </w:pPr>
      <w:r>
        <w:rPr>
          <w:rFonts w:ascii="Arial" w:hAnsi="Arial" w:eastAsia="Arial"/>
          <w:b/>
          <w:sz w:val="24"/>
        </w:rPr>
        <w:t>Plastics</w:t>
      </w:r>
      <w:r>
        <w:rPr>
          <w:rFonts w:ascii="Arial" w:hAnsi="Arial" w:eastAsia="Arial"/>
          <w:sz w:val="24"/>
        </w:rPr>
        <w:t xml:space="preserve"> remain the most widely used packaging material because of their durability and ability to preserve food effectively. However, plastic recycling rates remain disappointingly low. Some types, such as PET bottles or HDPE containers, can be recycled efficiently, but others, such as </w:t>
      </w:r>
      <w:r>
        <w:rPr>
          <w:rFonts w:ascii="Arial" w:hAnsi="Arial" w:eastAsia="Arial"/>
          <w:b/>
          <w:sz w:val="24"/>
        </w:rPr>
        <w:t>multilayer films and complex plastics</w:t>
      </w:r>
      <w:r>
        <w:rPr>
          <w:rFonts w:ascii="Arial" w:hAnsi="Arial" w:eastAsia="Arial"/>
          <w:sz w:val="24"/>
        </w:rPr>
        <w:t>, are often not recyclable. As a result, a significant amount of plastic waste ends up in the non-recyclable waste stream.</w:t>
      </w:r>
    </w:p>
    <w:p w14:paraId="2347B6FF" w14:textId="4BDB80A7" w:rsidR="21EE7615" w:rsidRPr="00885182" w:rsidRDefault="21EE7615" w:rsidP="225EA9A8">
      <w:pPr>
        <w:pStyle w:val="Prrafodelista"/>
        <w:numPr>
          <w:ilvl w:val="0"/>
          <w:numId w:val="1"/>
        </w:numPr>
        <w:shd w:val="clear" w:color="auto" w:fill="FFFFFF" w:themeFill="background1"/>
        <w:spacing w:after="150" w:line="276" w:lineRule="auto"/>
        <w:jc w:val="both"/>
        <w:rPr>
          <w:rFonts w:ascii="Arial" w:eastAsia="Encode Sans" w:hAnsi="Arial" w:cs="Arial"/>
          <w:color w:val="333333"/>
          <w:lang w:val="en-GB"/>
        </w:rPr>
      </w:pPr>
      <w:r>
        <w:rPr>
          <w:rFonts w:ascii="Arial" w:hAnsi="Arial" w:eastAsia="Arial"/>
          <w:b/>
          <w:sz w:val="24"/>
        </w:rPr>
        <w:t>Paper and cardboard</w:t>
      </w:r>
      <w:r>
        <w:rPr>
          <w:rFonts w:ascii="Arial" w:hAnsi="Arial" w:eastAsia="Arial"/>
          <w:sz w:val="24"/>
        </w:rPr>
        <w:t xml:space="preserve"> present a more straightforward process. Clean, dry paper and cardboard packaging is generally easy to recycle and is accepted by most household separate collection systems. The problem arises with </w:t>
      </w:r>
      <w:r>
        <w:rPr>
          <w:rFonts w:ascii="Arial" w:hAnsi="Arial" w:eastAsia="Arial"/>
          <w:b/>
          <w:sz w:val="24"/>
        </w:rPr>
        <w:t>packaging that is heavily contaminated with food residue, such as greasy pizza boxes or plastic-lined coffee cups</w:t>
      </w:r>
      <w:r>
        <w:rPr>
          <w:rFonts w:ascii="Arial" w:hAnsi="Arial" w:eastAsia="Arial"/>
          <w:sz w:val="24"/>
        </w:rPr>
        <w:t>. These materials generally cannot be processed at paper recycling facilities and must therefore be disposed of as general waste.</w:t>
      </w:r>
    </w:p>
    <w:p w14:paraId="56DE3300" w14:textId="6930419D" w:rsidR="21EE7615" w:rsidRPr="00885182" w:rsidRDefault="21EE7615" w:rsidP="225EA9A8">
      <w:pPr>
        <w:pStyle w:val="Prrafodelista"/>
        <w:numPr>
          <w:ilvl w:val="0"/>
          <w:numId w:val="1"/>
        </w:numPr>
        <w:shd w:val="clear" w:color="auto" w:fill="FFFFFF" w:themeFill="background1"/>
        <w:spacing w:after="150" w:line="276" w:lineRule="auto"/>
        <w:jc w:val="both"/>
        <w:rPr>
          <w:rFonts w:ascii="Arial" w:eastAsia="Encode Sans" w:hAnsi="Arial" w:cs="Arial"/>
          <w:color w:val="333333"/>
          <w:lang w:val="en-GB"/>
        </w:rPr>
      </w:pPr>
      <w:r>
        <w:rPr>
          <w:rFonts w:ascii="Arial" w:hAnsi="Arial" w:eastAsia="Arial"/>
          <w:b/>
          <w:sz w:val="24"/>
        </w:rPr>
        <w:t>Glass packaging</w:t>
      </w:r>
      <w:r>
        <w:rPr>
          <w:rFonts w:ascii="Arial" w:hAnsi="Arial" w:eastAsia="Arial"/>
          <w:sz w:val="24"/>
        </w:rPr>
        <w:t xml:space="preserve">, whether bottles or jars, is among the most recyclable materials available. Glass can be melted down and remade time and again without losing quality. However, </w:t>
      </w:r>
      <w:r>
        <w:rPr>
          <w:rFonts w:ascii="Arial" w:hAnsi="Arial" w:eastAsia="Arial"/>
          <w:b/>
          <w:sz w:val="24"/>
        </w:rPr>
        <w:t>many recycling systems require coloured glass to be separated from clear glass</w:t>
      </w:r>
      <w:r>
        <w:rPr>
          <w:rFonts w:ascii="Arial" w:hAnsi="Arial" w:eastAsia="Arial"/>
          <w:sz w:val="24"/>
        </w:rPr>
        <w:t>, so consumers are asked to place them in different containers.</w:t>
      </w:r>
    </w:p>
    <w:p w14:paraId="6150EC9A" w14:textId="5B8CCC36" w:rsidR="21EE7615" w:rsidRPr="00885182" w:rsidRDefault="21EE7615" w:rsidP="225EA9A8">
      <w:pPr>
        <w:pStyle w:val="Prrafodelista"/>
        <w:numPr>
          <w:ilvl w:val="0"/>
          <w:numId w:val="1"/>
        </w:numPr>
        <w:shd w:val="clear" w:color="auto" w:fill="FFFFFF" w:themeFill="background1"/>
        <w:spacing w:after="150" w:line="276" w:lineRule="auto"/>
        <w:jc w:val="both"/>
        <w:rPr>
          <w:rFonts w:ascii="Arial" w:eastAsia="Encode Sans" w:hAnsi="Arial" w:cs="Arial"/>
          <w:color w:val="333333"/>
          <w:lang w:val="en-GB"/>
        </w:rPr>
      </w:pPr>
      <w:r>
        <w:rPr>
          <w:rFonts w:ascii="Arial" w:hAnsi="Arial" w:eastAsia="Arial"/>
          <w:b/>
          <w:sz w:val="24"/>
        </w:rPr>
        <w:t>Metals</w:t>
      </w:r>
      <w:r>
        <w:rPr>
          <w:rFonts w:ascii="Arial" w:hAnsi="Arial" w:eastAsia="Arial"/>
          <w:sz w:val="24"/>
        </w:rPr>
        <w:t xml:space="preserve">, including aluminium, steel and tinplate, are another highly valuable resource within the recycling chain. Metal packaging, such as drinks cans, food tins and even aluminium foil, can be recycled indefinitely. The key is to </w:t>
      </w:r>
      <w:r>
        <w:rPr>
          <w:rFonts w:ascii="Arial" w:hAnsi="Arial" w:eastAsia="Arial"/>
          <w:b/>
          <w:sz w:val="24"/>
        </w:rPr>
        <w:t>ensure that this packaging is free from food residue, as contamination reduces the efficiency of the recycling process</w:t>
      </w:r>
      <w:r>
        <w:rPr>
          <w:rFonts w:ascii="Arial" w:hAnsi="Arial" w:eastAsia="Arial"/>
          <w:sz w:val="24"/>
        </w:rPr>
        <w:t>.</w:t>
      </w:r>
    </w:p>
    <w:p w14:paraId="798DBADC" w14:textId="0BFDC690" w:rsidR="002621B1" w:rsidRPr="00885182" w:rsidRDefault="62ADD1E6" w:rsidP="43DD0F9D">
      <w:pPr>
        <w:pStyle w:val="Prrafodelista"/>
        <w:numPr>
          <w:ilvl w:val="0"/>
          <w:numId w:val="1"/>
        </w:numPr>
        <w:shd w:val="clear" w:color="auto" w:fill="FFFFFF" w:themeFill="background1"/>
        <w:spacing w:after="150" w:line="276" w:lineRule="auto"/>
        <w:jc w:val="both"/>
        <w:rPr>
          <w:rFonts w:ascii="Arial" w:eastAsia="Encode Sans" w:hAnsi="Arial" w:cs="Arial"/>
          <w:color w:val="333333"/>
        </w:rPr>
      </w:pPr>
      <w:r>
        <w:rPr>
          <w:rFonts w:ascii="Arial" w:hAnsi="Arial" w:eastAsia="Arial"/>
          <w:b/>
          <w:sz w:val="24"/>
        </w:rPr>
        <w:t>Compostable and biodegradable packaging</w:t>
      </w:r>
      <w:r>
        <w:rPr>
          <w:rFonts w:ascii="Arial" w:hAnsi="Arial" w:eastAsia="Arial"/>
          <w:sz w:val="24"/>
        </w:rPr>
        <w:t xml:space="preserve"> is appearing on the market with increasing frequency as a more sustainable alternative, although it is also the subject of considerable misunderstanding. </w:t>
      </w:r>
      <w:r>
        <w:rPr>
          <w:rFonts w:ascii="Arial" w:hAnsi="Arial" w:eastAsia="Arial"/>
          <w:b/>
          <w:sz w:val="24"/>
        </w:rPr>
        <w:t>Certified compostable packaging is designed to break down under industrial composting conditions. This means it should be placed in the organic waste or biowaste bin</w:t>
      </w:r>
      <w:r>
        <w:rPr>
          <w:rFonts w:ascii="Arial" w:hAnsi="Arial" w:eastAsia="Arial"/>
          <w:sz w:val="24"/>
        </w:rPr>
        <w:t xml:space="preserve">, provided that this collection system is available locally. Importantly, </w:t>
      </w:r>
      <w:r>
        <w:rPr>
          <w:rFonts w:ascii="Arial" w:hAnsi="Arial" w:eastAsia="Arial"/>
          <w:b/>
          <w:sz w:val="24"/>
        </w:rPr>
        <w:t>compostable materials should never be mixed with conventional plastics in the recycling stream</w:t>
      </w:r>
      <w:r>
        <w:rPr>
          <w:rFonts w:ascii="Arial" w:hAnsi="Arial" w:eastAsia="Arial"/>
          <w:sz w:val="24"/>
        </w:rPr>
        <w:t>, as they contaminate the process. In places where composting facilities are not available, compostable packaging unfortunately has to be treated as non-recyclable waste.</w:t>
      </w:r>
    </w:p>
    <w:p w14:paraId="069BA1A0" w14:textId="282C62F2" w:rsidR="002621B1" w:rsidRPr="00885182" w:rsidRDefault="1A85E0C9" w:rsidP="00885182">
      <w:pPr>
        <w:shd w:val="clear" w:color="auto" w:fill="FFFFFF" w:themeFill="background1"/>
        <w:spacing w:after="150" w:line="276" w:lineRule="auto"/>
        <w:jc w:val="center"/>
        <w:rPr>
          <w:rFonts w:ascii="Arial" w:hAnsi="Arial" w:cs="Arial"/>
        </w:rPr>
      </w:pPr>
      <w:r w:rsidRPr="00885182">
        <w:rPr>
          <w:rFonts w:ascii="Arial" w:hAnsi="Arial" w:cs="Arial"/>
          <w:noProof/>
        </w:rPr>
        <w:drawing>
          <wp:inline distT="0" distB="0" distL="0" distR="0" wp14:anchorId="5E2A2CB9" wp14:editId="7FF7E991">
            <wp:extent cx="3476625" cy="2324100"/>
            <wp:effectExtent l="0" t="0" r="0" b="0"/>
            <wp:docPr id="1870489559" name="drawing" title="Royalty-Free photo: Baked pizza in box | Pick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89559" name="Picture 1870489559"/>
                    <pic:cNvPicPr/>
                  </pic:nvPicPr>
                  <pic:blipFill>
                    <a:blip r:embed="rId8">
                      <a:extLst>
                        <a:ext uri="{28A0092B-C50C-407E-A947-70E740481C1C}">
                          <a14:useLocalDpi xmlns:a14="http://schemas.microsoft.com/office/drawing/2010/main"/>
                        </a:ext>
                      </a:extLst>
                    </a:blip>
                    <a:stretch>
                      <a:fillRect/>
                    </a:stretch>
                  </pic:blipFill>
                  <pic:spPr>
                    <a:xfrm>
                      <a:off x="0" y="0"/>
                      <a:ext cx="3476625" cy="2324100"/>
                    </a:xfrm>
                    <a:prstGeom prst="rect">
                      <a:avLst/>
                    </a:prstGeom>
                  </pic:spPr>
                </pic:pic>
              </a:graphicData>
            </a:graphic>
          </wp:inline>
        </w:drawing>
      </w:r>
    </w:p>
    <w:p w14:paraId="4D0DE51A" w14:textId="389E2328" w:rsidR="002621B1" w:rsidRPr="00885182" w:rsidRDefault="5A7B19EE" w:rsidP="3BE4CE4A">
      <w:pPr>
        <w:shd w:val="clear" w:color="auto" w:fill="FFFFFF" w:themeFill="background1"/>
        <w:spacing w:after="150" w:line="276" w:lineRule="auto"/>
        <w:jc w:val="left"/>
        <w:rPr>
          <w:rFonts w:ascii="Arial" w:hAnsi="Arial" w:cs="Arial"/>
          <w:sz w:val="20"/>
          <w:szCs w:val="20"/>
        </w:rPr>
      </w:pPr>
      <w:r>
        <w:rPr>
          <w:rFonts w:ascii="Arial" w:hAnsi="Arial" w:eastAsia="Arial"/>
          <w:b w:val="0"/>
          <w:i/>
          <w:sz w:val="20"/>
        </w:rPr>
        <w:t>Photo by PickPik, licensed under CC0 1.0.</w:t>
      </w:r>
    </w:p>
    <w:p w14:paraId="3342BD41" w14:textId="17C97CDE" w:rsidR="002621B1" w:rsidRPr="00885182" w:rsidRDefault="1A85E0C9" w:rsidP="3BE4CE4A">
      <w:pPr>
        <w:shd w:val="clear" w:color="auto" w:fill="FFFFFF" w:themeFill="background1"/>
        <w:spacing w:after="150" w:line="276" w:lineRule="auto"/>
        <w:jc w:val="both"/>
        <w:rPr>
          <w:rFonts w:ascii="Arial" w:hAnsi="Arial" w:cs="Arial"/>
          <w:sz w:val="28"/>
          <w:szCs w:val="28"/>
        </w:rPr>
      </w:pPr>
      <w:r w:rsidRPr="00885182">
        <w:rPr>
          <w:rFonts w:ascii="Arial" w:eastAsia="Encode Sans" w:hAnsi="Arial" w:cs="Arial"/>
          <w:color w:val="333333"/>
          <w:lang w:val="en-GB"/>
        </w:rPr>
        <w:t xml:space="preserve"> </w:t>
      </w:r>
    </w:p>
    <w:p w14:paraId="5DDBE623" w14:textId="093E05C8" w:rsidR="002621B1" w:rsidRPr="00885182" w:rsidRDefault="01CFB5AE" w:rsidP="3BE4CE4A">
      <w:pPr>
        <w:pStyle w:val="Ttulo3"/>
        <w:shd w:val="clear" w:color="auto" w:fill="FFFFFF" w:themeFill="background1"/>
        <w:spacing w:before="0" w:after="150" w:line="276" w:lineRule="auto"/>
        <w:jc w:val="left"/>
        <w:rPr>
          <w:rFonts w:ascii="Arial" w:hAnsi="Arial" w:cs="Arial"/>
        </w:rPr>
      </w:pPr>
      <w:r>
        <w:rPr>
          <w:rFonts w:ascii="Arial" w:hAnsi="Arial" w:eastAsia="Arial"/>
          <w:b/>
          <w:color w:val="0A4149"/>
          <w:sz w:val="28"/>
        </w:rPr>
        <w:t>GUIDE TO PROPER WASTE MANAGEMENT</w:t>
      </w:r>
    </w:p>
    <w:p w14:paraId="724CD56A" w14:textId="2D6F1687" w:rsidR="7EC84124" w:rsidRPr="00885182" w:rsidRDefault="7EC84124" w:rsidP="43DD0F9D">
      <w:pPr>
        <w:shd w:val="clear" w:color="auto" w:fill="FFFFFF" w:themeFill="background1"/>
        <w:spacing w:after="150" w:line="276" w:lineRule="auto"/>
        <w:jc w:val="both"/>
        <w:rPr>
          <w:rFonts w:ascii="Arial" w:hAnsi="Arial" w:cs="Arial"/>
        </w:rPr>
      </w:pPr>
      <w:r>
        <w:rPr>
          <w:rFonts w:ascii="Arial" w:hAnsi="Arial" w:eastAsia="Arial"/>
          <w:b w:val="0"/>
          <w:sz w:val="24"/>
        </w:rPr>
        <w:t>For recyclable materials, proper preparation is essential. Packaging should be rinsed to remove food residue, which helps maintain the quality of recycling streams. Cardboard boxes should be flattened to save space and make transport easier. When packaging is made from different materials — for example, a cardboard tray with a plastic cover — it is best to separate each component so that it can be recycled correctly.</w:t>
      </w:r>
    </w:p>
    <w:p w14:paraId="0B4DB4D4" w14:textId="23595E5C" w:rsidR="7EC84124" w:rsidRPr="00885182" w:rsidRDefault="7EC84124" w:rsidP="43DD0F9D">
      <w:pPr>
        <w:shd w:val="clear" w:color="auto" w:fill="FFFFFF" w:themeFill="background1"/>
        <w:spacing w:after="150" w:line="276" w:lineRule="auto"/>
        <w:jc w:val="both"/>
        <w:rPr>
          <w:rFonts w:ascii="Arial" w:hAnsi="Arial" w:cs="Arial"/>
        </w:rPr>
      </w:pPr>
      <w:r>
        <w:rPr>
          <w:rFonts w:ascii="Arial" w:hAnsi="Arial" w:eastAsia="Arial"/>
          <w:b w:val="0"/>
          <w:sz w:val="24"/>
        </w:rPr>
        <w:t>For compostable materials, certifications such as the EN 13432 standard in Europe ensure that packaging meets the requirements for composting. Consumers should look for these labels and place this waste in the organic waste or biowaste bin where this service is available in their municipality. If there are no composting facilities locally, the correct option is to dispose of it with general waste, never in the plastic packaging recycling bin.</w:t>
      </w:r>
    </w:p>
    <w:p w14:paraId="629A5B84" w14:textId="039D97AB" w:rsidR="7EC84124" w:rsidRPr="00885182" w:rsidRDefault="7EC84124" w:rsidP="43DD0F9D">
      <w:pPr>
        <w:shd w:val="clear" w:color="auto" w:fill="FFFFFF" w:themeFill="background1"/>
        <w:spacing w:after="150" w:line="276" w:lineRule="auto"/>
        <w:jc w:val="both"/>
        <w:rPr>
          <w:rFonts w:ascii="Arial" w:hAnsi="Arial" w:cs="Arial"/>
        </w:rPr>
      </w:pPr>
      <w:r>
        <w:rPr>
          <w:rFonts w:ascii="Arial" w:hAnsi="Arial" w:eastAsia="Arial"/>
          <w:b w:val="0"/>
          <w:sz w:val="24"/>
        </w:rPr>
        <w:t>The general waste stream, meanwhile, is intended for packaging that cannot, in practice, be recycled or composted. This includes multilayer plastics, plastic-coated papers and packaging that is heavily soiled or contains substantial food residue. Placing these materials in the residual waste bin is not the ideal solution, but it is preferable to contaminating recycling streams and causing large quantities of recyclable materials to become unusable.</w:t>
      </w:r>
    </w:p>
    <w:p w14:paraId="763B2B87" w14:textId="37E23767" w:rsidR="002621B1" w:rsidRPr="00885182" w:rsidRDefault="1A85E0C9" w:rsidP="3BE4CE4A">
      <w:pPr>
        <w:shd w:val="clear" w:color="auto" w:fill="FFFFFF" w:themeFill="background1"/>
        <w:spacing w:after="150" w:line="276" w:lineRule="auto"/>
        <w:jc w:val="both"/>
        <w:rPr>
          <w:rFonts w:ascii="Arial" w:hAnsi="Arial" w:cs="Arial"/>
        </w:rPr>
      </w:pPr>
      <w:r w:rsidRPr="00885182">
        <w:rPr>
          <w:rFonts w:ascii="Arial" w:eastAsia="Encode Sans" w:hAnsi="Arial" w:cs="Arial"/>
          <w:color w:val="333333"/>
          <w:lang w:val="en-GB"/>
        </w:rPr>
        <w:t xml:space="preserve"> </w:t>
      </w:r>
    </w:p>
    <w:p w14:paraId="5A80BE14" w14:textId="46A3BBAD" w:rsidR="002621B1" w:rsidRPr="00885182" w:rsidRDefault="1C598A65" w:rsidP="3BE4CE4A">
      <w:pPr>
        <w:pStyle w:val="Ttulo3"/>
        <w:shd w:val="clear" w:color="auto" w:fill="FFFFFF" w:themeFill="background1"/>
        <w:spacing w:before="0" w:after="150" w:line="276" w:lineRule="auto"/>
        <w:jc w:val="left"/>
        <w:rPr>
          <w:rFonts w:ascii="Arial" w:hAnsi="Arial" w:cs="Arial"/>
        </w:rPr>
      </w:pPr>
      <w:r>
        <w:rPr>
          <w:rFonts w:ascii="Arial" w:hAnsi="Arial" w:eastAsia="Arial"/>
          <w:b/>
          <w:color w:val="0A4149"/>
          <w:sz w:val="28"/>
        </w:rPr>
        <w:t>WHY CONSUMER CHOICES STILL MATTER</w:t>
      </w:r>
    </w:p>
    <w:p w14:paraId="65C53DE3" w14:textId="4FF6E0A9" w:rsidR="45F5305D" w:rsidRPr="00885182" w:rsidRDefault="45F5305D" w:rsidP="43DD0F9D">
      <w:pPr>
        <w:shd w:val="clear" w:color="auto" w:fill="FFFFFF" w:themeFill="background1"/>
        <w:spacing w:after="150" w:line="276" w:lineRule="auto"/>
        <w:jc w:val="both"/>
        <w:rPr>
          <w:rFonts w:ascii="Arial" w:hAnsi="Arial" w:cs="Arial"/>
        </w:rPr>
      </w:pPr>
      <w:r>
        <w:rPr>
          <w:rFonts w:ascii="Arial" w:hAnsi="Arial" w:eastAsia="Arial"/>
          <w:b w:val="0"/>
          <w:sz w:val="24"/>
        </w:rPr>
        <w:t>Although individual actions matter, placing all the responsibility on consumers ignores a deeper reality: the main responsibility lies with companies and producers. Companies are the ones that design packaging, select materials and profit from products that generate waste. Expecting households alone to solve the problem through correct waste separation and disposal shifts responsibility away from those with the power to drive structural change. Real progress requires companies to reduce pollution at source by investing in recyclable, reusable and low-environmental-impact packaging. Only when corporate responsibility goes hand in hand with consumer commitment will it be possible to achieve a significant reduction in packaging waste.</w:t>
      </w:r>
    </w:p>
    <w:p w14:paraId="7EFB6705" w14:textId="1C9B5CC7" w:rsidR="45F5305D" w:rsidRPr="00885182" w:rsidRDefault="45F5305D" w:rsidP="43DD0F9D">
      <w:pPr>
        <w:shd w:val="clear" w:color="auto" w:fill="FFFFFF" w:themeFill="background1"/>
        <w:spacing w:after="150" w:line="276" w:lineRule="auto"/>
        <w:jc w:val="both"/>
        <w:rPr>
          <w:rFonts w:ascii="Arial" w:hAnsi="Arial" w:cs="Arial"/>
        </w:rPr>
      </w:pPr>
      <w:r>
        <w:rPr>
          <w:rFonts w:ascii="Arial" w:hAnsi="Arial" w:eastAsia="Arial"/>
          <w:b w:val="0"/>
          <w:sz w:val="24"/>
        </w:rPr>
        <w:t>Even so, as responsible citizens, we must do our part. Although, apparently, Taylor Swift does not. Small everyday actions relating to the correct management of packaging have an enormous cumulative effect. Rinsing a yoghurt pot may seem insignificant, but multiplied across millions of households, it makes recycling systems far more efficient. Governments and companies must then take responsibility too. Checking whether packaging is compostable or recyclable prevents contamination between waste streams, saves resources and energy in the long term, and helps steer production towards more sustainable models. Consumers are not merely the end users of packaging; they also play an active role, although they do not lead the process, in building a circular economy. Understanding and applying sound waste-management practices, while remaining aware of the role each of us occupies within the chain, helps close the loop and drives change at higher levels of decision-making.</w:t>
      </w:r>
    </w:p>
    <w:p w14:paraId="1788816D" w14:textId="0352D5D5" w:rsidR="002621B1" w:rsidRPr="00885182" w:rsidRDefault="002621B1" w:rsidP="43DD0F9D">
      <w:pPr>
        <w:shd w:val="clear" w:color="auto" w:fill="FFFFFF" w:themeFill="background1"/>
        <w:spacing w:after="150" w:line="276" w:lineRule="auto"/>
        <w:jc w:val="both"/>
        <w:rPr>
          <w:rFonts w:ascii="Arial" w:eastAsia="Encode Sans" w:hAnsi="Arial" w:cs="Arial"/>
          <w:color w:val="333333"/>
          <w:lang w:val="en-GB"/>
        </w:rPr>
      </w:pPr>
    </w:p>
    <w:p w14:paraId="6B0504D2" w14:textId="0E53D62B" w:rsidR="002621B1" w:rsidRPr="00885182" w:rsidRDefault="4959947E" w:rsidP="3BE4CE4A">
      <w:pPr>
        <w:pStyle w:val="Ttulo3"/>
        <w:shd w:val="clear" w:color="auto" w:fill="FFFFFF" w:themeFill="background1"/>
        <w:spacing w:before="0" w:after="150" w:line="276" w:lineRule="auto"/>
        <w:jc w:val="left"/>
        <w:rPr>
          <w:rFonts w:ascii="Arial" w:hAnsi="Arial" w:cs="Arial"/>
        </w:rPr>
      </w:pPr>
      <w:r>
        <w:rPr>
          <w:rFonts w:ascii="Arial" w:hAnsi="Arial" w:eastAsia="Arial"/>
          <w:b/>
          <w:color w:val="0A4149"/>
          <w:sz w:val="28"/>
        </w:rPr>
        <w:t>IF WE DO NOT DO IT, WHO WILL?</w:t>
      </w:r>
    </w:p>
    <w:p w14:paraId="11893199" w14:textId="2DD68839" w:rsidR="0510111A" w:rsidRPr="00885182" w:rsidRDefault="0510111A" w:rsidP="43DD0F9D">
      <w:pPr>
        <w:spacing w:line="276" w:lineRule="auto"/>
        <w:jc w:val="both"/>
        <w:rPr>
          <w:rFonts w:ascii="Arial" w:hAnsi="Arial" w:cs="Arial"/>
        </w:rPr>
      </w:pPr>
      <w:r>
        <w:rPr>
          <w:rFonts w:ascii="Arial" w:hAnsi="Arial" w:eastAsia="Arial"/>
          <w:b w:val="0"/>
          <w:sz w:val="24"/>
        </w:rPr>
        <w:t>Packaging reflects both the conveniences and the complexities of the modern economy and modern life. It is a genuine battleground. As Europe moves towards increasingly ambitious circular-economy and waste-reduction targets, and companies seek to minimise costs and maximise profits, consumers play an essential role in ensuring that every piece of packaging ends up in the right place and in setting the ethical direction of this process. If we do not do it, who will?</w:t>
      </w:r>
    </w:p>
    <w:p w14:paraId="2317BCCF" w14:textId="05A8AC7B" w:rsidR="0510111A" w:rsidRPr="00885182" w:rsidRDefault="0510111A" w:rsidP="43DD0F9D">
      <w:pPr>
        <w:spacing w:line="276" w:lineRule="auto"/>
        <w:jc w:val="both"/>
        <w:rPr>
          <w:rFonts w:ascii="Arial" w:hAnsi="Arial" w:cs="Arial"/>
        </w:rPr>
      </w:pPr>
      <w:r>
        <w:rPr>
          <w:rFonts w:ascii="Arial" w:hAnsi="Arial" w:eastAsia="Arial"/>
          <w:b w:val="0"/>
          <w:sz w:val="24"/>
        </w:rPr>
        <w:t>Knowing what should be recycled, what can be composted and what should be disposed of as general waste is not only a matter of individual responsibility, but also a collective step towards a more sustainable model. With clearer information and more conscious decisions, we can all contribute to a cleaner environment and a healthier future.</w:t>
      </w:r>
    </w:p>
    <w:sectPr w:rsidR="43DD0F9D" w:rsidRPr="0088518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083C3"/>
    <w:multiLevelType w:val="hybridMultilevel"/>
    <w:tmpl w:val="D1868C1C"/>
    <w:lvl w:ilvl="0" w:tplc="B8AC1F74">
      <w:start w:val="1"/>
      <w:numFmt w:val="bullet"/>
      <w:lvlText w:val=""/>
      <w:lvlJc w:val="left"/>
      <w:pPr>
        <w:ind w:left="360" w:hanging="360"/>
      </w:pPr>
      <w:rPr>
        <w:rFonts w:ascii="Symbol" w:hAnsi="Symbol" w:hint="default"/>
      </w:rPr>
    </w:lvl>
    <w:lvl w:ilvl="1" w:tplc="1A7C91B0">
      <w:start w:val="1"/>
      <w:numFmt w:val="bullet"/>
      <w:lvlText w:val="o"/>
      <w:lvlJc w:val="left"/>
      <w:pPr>
        <w:ind w:left="1080" w:hanging="360"/>
      </w:pPr>
      <w:rPr>
        <w:rFonts w:ascii="Courier New" w:hAnsi="Courier New" w:hint="default"/>
      </w:rPr>
    </w:lvl>
    <w:lvl w:ilvl="2" w:tplc="91FA90E8">
      <w:start w:val="1"/>
      <w:numFmt w:val="bullet"/>
      <w:lvlText w:val=""/>
      <w:lvlJc w:val="left"/>
      <w:pPr>
        <w:ind w:left="1800" w:hanging="360"/>
      </w:pPr>
      <w:rPr>
        <w:rFonts w:ascii="Wingdings" w:hAnsi="Wingdings" w:hint="default"/>
      </w:rPr>
    </w:lvl>
    <w:lvl w:ilvl="3" w:tplc="90E651C6">
      <w:start w:val="1"/>
      <w:numFmt w:val="bullet"/>
      <w:lvlText w:val=""/>
      <w:lvlJc w:val="left"/>
      <w:pPr>
        <w:ind w:left="2520" w:hanging="360"/>
      </w:pPr>
      <w:rPr>
        <w:rFonts w:ascii="Symbol" w:hAnsi="Symbol" w:hint="default"/>
      </w:rPr>
    </w:lvl>
    <w:lvl w:ilvl="4" w:tplc="7FE28B62">
      <w:start w:val="1"/>
      <w:numFmt w:val="bullet"/>
      <w:lvlText w:val="o"/>
      <w:lvlJc w:val="left"/>
      <w:pPr>
        <w:ind w:left="3240" w:hanging="360"/>
      </w:pPr>
      <w:rPr>
        <w:rFonts w:ascii="Courier New" w:hAnsi="Courier New" w:hint="default"/>
      </w:rPr>
    </w:lvl>
    <w:lvl w:ilvl="5" w:tplc="90768D7E">
      <w:start w:val="1"/>
      <w:numFmt w:val="bullet"/>
      <w:lvlText w:val=""/>
      <w:lvlJc w:val="left"/>
      <w:pPr>
        <w:ind w:left="3960" w:hanging="360"/>
      </w:pPr>
      <w:rPr>
        <w:rFonts w:ascii="Wingdings" w:hAnsi="Wingdings" w:hint="default"/>
      </w:rPr>
    </w:lvl>
    <w:lvl w:ilvl="6" w:tplc="7CBA8170">
      <w:start w:val="1"/>
      <w:numFmt w:val="bullet"/>
      <w:lvlText w:val=""/>
      <w:lvlJc w:val="left"/>
      <w:pPr>
        <w:ind w:left="4680" w:hanging="360"/>
      </w:pPr>
      <w:rPr>
        <w:rFonts w:ascii="Symbol" w:hAnsi="Symbol" w:hint="default"/>
      </w:rPr>
    </w:lvl>
    <w:lvl w:ilvl="7" w:tplc="4AC83662">
      <w:start w:val="1"/>
      <w:numFmt w:val="bullet"/>
      <w:lvlText w:val="o"/>
      <w:lvlJc w:val="left"/>
      <w:pPr>
        <w:ind w:left="5400" w:hanging="360"/>
      </w:pPr>
      <w:rPr>
        <w:rFonts w:ascii="Courier New" w:hAnsi="Courier New" w:hint="default"/>
      </w:rPr>
    </w:lvl>
    <w:lvl w:ilvl="8" w:tplc="9ACABFF4">
      <w:start w:val="1"/>
      <w:numFmt w:val="bullet"/>
      <w:lvlText w:val=""/>
      <w:lvlJc w:val="left"/>
      <w:pPr>
        <w:ind w:left="6120" w:hanging="360"/>
      </w:pPr>
      <w:rPr>
        <w:rFonts w:ascii="Wingdings" w:hAnsi="Wingdings" w:hint="default"/>
      </w:rPr>
    </w:lvl>
  </w:abstractNum>
  <w:abstractNum w:abstractNumId="1" w15:restartNumberingAfterBreak="0">
    <w:nsid w:val="1F190D99"/>
    <w:multiLevelType w:val="hybridMultilevel"/>
    <w:tmpl w:val="1F9C2EC0"/>
    <w:lvl w:ilvl="0" w:tplc="CE226D60">
      <w:start w:val="1"/>
      <w:numFmt w:val="bullet"/>
      <w:lvlText w:val=""/>
      <w:lvlJc w:val="left"/>
      <w:pPr>
        <w:ind w:left="720" w:hanging="360"/>
      </w:pPr>
      <w:rPr>
        <w:rFonts w:ascii="Symbol" w:hAnsi="Symbol" w:hint="default"/>
      </w:rPr>
    </w:lvl>
    <w:lvl w:ilvl="1" w:tplc="617E7998">
      <w:start w:val="1"/>
      <w:numFmt w:val="bullet"/>
      <w:lvlText w:val="o"/>
      <w:lvlJc w:val="left"/>
      <w:pPr>
        <w:ind w:left="1440" w:hanging="360"/>
      </w:pPr>
      <w:rPr>
        <w:rFonts w:ascii="Courier New" w:hAnsi="Courier New" w:hint="default"/>
      </w:rPr>
    </w:lvl>
    <w:lvl w:ilvl="2" w:tplc="2E6ADE90">
      <w:start w:val="1"/>
      <w:numFmt w:val="bullet"/>
      <w:lvlText w:val=""/>
      <w:lvlJc w:val="left"/>
      <w:pPr>
        <w:ind w:left="2160" w:hanging="360"/>
      </w:pPr>
      <w:rPr>
        <w:rFonts w:ascii="Wingdings" w:hAnsi="Wingdings" w:hint="default"/>
      </w:rPr>
    </w:lvl>
    <w:lvl w:ilvl="3" w:tplc="C87A7500">
      <w:start w:val="1"/>
      <w:numFmt w:val="bullet"/>
      <w:lvlText w:val=""/>
      <w:lvlJc w:val="left"/>
      <w:pPr>
        <w:ind w:left="2880" w:hanging="360"/>
      </w:pPr>
      <w:rPr>
        <w:rFonts w:ascii="Symbol" w:hAnsi="Symbol" w:hint="default"/>
      </w:rPr>
    </w:lvl>
    <w:lvl w:ilvl="4" w:tplc="24843F5C">
      <w:start w:val="1"/>
      <w:numFmt w:val="bullet"/>
      <w:lvlText w:val="o"/>
      <w:lvlJc w:val="left"/>
      <w:pPr>
        <w:ind w:left="3600" w:hanging="360"/>
      </w:pPr>
      <w:rPr>
        <w:rFonts w:ascii="Courier New" w:hAnsi="Courier New" w:hint="default"/>
      </w:rPr>
    </w:lvl>
    <w:lvl w:ilvl="5" w:tplc="3B1296DC">
      <w:start w:val="1"/>
      <w:numFmt w:val="bullet"/>
      <w:lvlText w:val=""/>
      <w:lvlJc w:val="left"/>
      <w:pPr>
        <w:ind w:left="4320" w:hanging="360"/>
      </w:pPr>
      <w:rPr>
        <w:rFonts w:ascii="Wingdings" w:hAnsi="Wingdings" w:hint="default"/>
      </w:rPr>
    </w:lvl>
    <w:lvl w:ilvl="6" w:tplc="DCB6EF7E">
      <w:start w:val="1"/>
      <w:numFmt w:val="bullet"/>
      <w:lvlText w:val=""/>
      <w:lvlJc w:val="left"/>
      <w:pPr>
        <w:ind w:left="5040" w:hanging="360"/>
      </w:pPr>
      <w:rPr>
        <w:rFonts w:ascii="Symbol" w:hAnsi="Symbol" w:hint="default"/>
      </w:rPr>
    </w:lvl>
    <w:lvl w:ilvl="7" w:tplc="7458BCD6">
      <w:start w:val="1"/>
      <w:numFmt w:val="bullet"/>
      <w:lvlText w:val="o"/>
      <w:lvlJc w:val="left"/>
      <w:pPr>
        <w:ind w:left="5760" w:hanging="360"/>
      </w:pPr>
      <w:rPr>
        <w:rFonts w:ascii="Courier New" w:hAnsi="Courier New" w:hint="default"/>
      </w:rPr>
    </w:lvl>
    <w:lvl w:ilvl="8" w:tplc="E8CEA496">
      <w:start w:val="1"/>
      <w:numFmt w:val="bullet"/>
      <w:lvlText w:val=""/>
      <w:lvlJc w:val="left"/>
      <w:pPr>
        <w:ind w:left="6480" w:hanging="360"/>
      </w:pPr>
      <w:rPr>
        <w:rFonts w:ascii="Wingdings" w:hAnsi="Wingdings" w:hint="default"/>
      </w:rPr>
    </w:lvl>
  </w:abstractNum>
  <w:num w:numId="1" w16cid:durableId="1385103793">
    <w:abstractNumId w:val="0"/>
  </w:num>
  <w:num w:numId="2" w16cid:durableId="1298531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1B1"/>
    <w:rsid w:val="00036C0A"/>
    <w:rsid w:val="002621B1"/>
    <w:rsid w:val="002E2F20"/>
    <w:rsid w:val="003E30CF"/>
    <w:rsid w:val="00401579"/>
    <w:rsid w:val="0067438A"/>
    <w:rsid w:val="00770C58"/>
    <w:rsid w:val="00885182"/>
    <w:rsid w:val="00895A66"/>
    <w:rsid w:val="008E5EC8"/>
    <w:rsid w:val="00920D4F"/>
    <w:rsid w:val="00A43076"/>
    <w:rsid w:val="00C91BC2"/>
    <w:rsid w:val="01CFB5AE"/>
    <w:rsid w:val="0510111A"/>
    <w:rsid w:val="0B291CCE"/>
    <w:rsid w:val="0CB26F25"/>
    <w:rsid w:val="10015735"/>
    <w:rsid w:val="111121CA"/>
    <w:rsid w:val="11C9EE19"/>
    <w:rsid w:val="11D31060"/>
    <w:rsid w:val="18A4A8DE"/>
    <w:rsid w:val="1A85E0C9"/>
    <w:rsid w:val="1C598A65"/>
    <w:rsid w:val="21EE7615"/>
    <w:rsid w:val="225EA9A8"/>
    <w:rsid w:val="254AAEA0"/>
    <w:rsid w:val="2D84194E"/>
    <w:rsid w:val="373193BA"/>
    <w:rsid w:val="39C82072"/>
    <w:rsid w:val="3BE4CE4A"/>
    <w:rsid w:val="43DA4F08"/>
    <w:rsid w:val="43DD0F9D"/>
    <w:rsid w:val="45F5305D"/>
    <w:rsid w:val="46766C5D"/>
    <w:rsid w:val="4716F4E8"/>
    <w:rsid w:val="4959947E"/>
    <w:rsid w:val="568B9C24"/>
    <w:rsid w:val="585F0386"/>
    <w:rsid w:val="5A0EAD26"/>
    <w:rsid w:val="5A7B19EE"/>
    <w:rsid w:val="5D885DB5"/>
    <w:rsid w:val="62ADD1E6"/>
    <w:rsid w:val="6304E874"/>
    <w:rsid w:val="635BA336"/>
    <w:rsid w:val="7DE1E38A"/>
    <w:rsid w:val="7EC84124"/>
    <w:rsid w:val="7FBE13A4"/>
    <w:rsid w:val="7FC58B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FE29C"/>
  <w15:chartTrackingRefBased/>
  <w15:docId w15:val="{106D4963-5EAB-4011-BCEB-2E595BB7A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621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21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621B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21B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21B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21B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21B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21B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21B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21B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21B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621B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21B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21B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21B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21B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21B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21B1"/>
    <w:rPr>
      <w:rFonts w:eastAsiaTheme="majorEastAsia" w:cstheme="majorBidi"/>
      <w:color w:val="272727" w:themeColor="text1" w:themeTint="D8"/>
    </w:rPr>
  </w:style>
  <w:style w:type="paragraph" w:styleId="Ttulo">
    <w:name w:val="Title"/>
    <w:basedOn w:val="Normal"/>
    <w:next w:val="Normal"/>
    <w:link w:val="TtuloCar"/>
    <w:uiPriority w:val="10"/>
    <w:qFormat/>
    <w:rsid w:val="002621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21B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21B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21B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21B1"/>
    <w:pPr>
      <w:spacing w:before="160"/>
      <w:jc w:val="center"/>
    </w:pPr>
    <w:rPr>
      <w:i/>
      <w:iCs/>
      <w:color w:val="404040" w:themeColor="text1" w:themeTint="BF"/>
    </w:rPr>
  </w:style>
  <w:style w:type="character" w:customStyle="1" w:styleId="CitaCar">
    <w:name w:val="Cita Car"/>
    <w:basedOn w:val="Fuentedeprrafopredeter"/>
    <w:link w:val="Cita"/>
    <w:uiPriority w:val="29"/>
    <w:rsid w:val="002621B1"/>
    <w:rPr>
      <w:i/>
      <w:iCs/>
      <w:color w:val="404040" w:themeColor="text1" w:themeTint="BF"/>
    </w:rPr>
  </w:style>
  <w:style w:type="paragraph" w:styleId="Prrafodelista">
    <w:name w:val="List Paragraph"/>
    <w:basedOn w:val="Normal"/>
    <w:uiPriority w:val="34"/>
    <w:qFormat/>
    <w:rsid w:val="002621B1"/>
    <w:pPr>
      <w:ind w:left="720"/>
      <w:contextualSpacing/>
    </w:pPr>
  </w:style>
  <w:style w:type="character" w:styleId="nfasisintenso">
    <w:name w:val="Intense Emphasis"/>
    <w:basedOn w:val="Fuentedeprrafopredeter"/>
    <w:uiPriority w:val="21"/>
    <w:qFormat/>
    <w:rsid w:val="002621B1"/>
    <w:rPr>
      <w:i/>
      <w:iCs/>
      <w:color w:val="0F4761" w:themeColor="accent1" w:themeShade="BF"/>
    </w:rPr>
  </w:style>
  <w:style w:type="paragraph" w:styleId="Citadestacada">
    <w:name w:val="Intense Quote"/>
    <w:basedOn w:val="Normal"/>
    <w:next w:val="Normal"/>
    <w:link w:val="CitadestacadaCar"/>
    <w:uiPriority w:val="30"/>
    <w:qFormat/>
    <w:rsid w:val="002621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21B1"/>
    <w:rPr>
      <w:i/>
      <w:iCs/>
      <w:color w:val="0F4761" w:themeColor="accent1" w:themeShade="BF"/>
    </w:rPr>
  </w:style>
  <w:style w:type="character" w:styleId="Referenciaintensa">
    <w:name w:val="Intense Reference"/>
    <w:basedOn w:val="Fuentedeprrafopredeter"/>
    <w:uiPriority w:val="32"/>
    <w:qFormat/>
    <w:rsid w:val="002621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790872-9C1E-42EE-9284-3919DFE79FC1}">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C7A6B2A0-C86F-4CBD-B120-A5647201A0C3}">
  <ds:schemaRefs>
    <ds:schemaRef ds:uri="http://schemas.microsoft.com/sharepoint/v3/contenttype/forms"/>
  </ds:schemaRefs>
</ds:datastoreItem>
</file>

<file path=customXml/itemProps3.xml><?xml version="1.0" encoding="utf-8"?>
<ds:datastoreItem xmlns:ds="http://schemas.openxmlformats.org/officeDocument/2006/customXml" ds:itemID="{9CA03F49-07F6-44C2-AF0F-366B0DCF7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1290</Words>
  <Characters>7100</Characters>
  <Application>Microsoft Office Word</Application>
  <DocSecurity>0</DocSecurity>
  <Lines>59</Lines>
  <Paragraphs>16</Paragraphs>
  <ScaleCrop>false</ScaleCrop>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16</cp:revision>
  <dcterms:created xsi:type="dcterms:W3CDTF">2025-08-22T12:51:00Z</dcterms:created>
  <dcterms:modified xsi:type="dcterms:W3CDTF">2026-09-15T11:15:00Z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