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C06E" w14:textId="0C895E43" w:rsidR="005F26B3" w:rsidRPr="009E3F83" w:rsidRDefault="52B723E2" w:rsidP="30A85797">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US"/>
        </w:rPr>
      </w:pPr>
      <w:r w:rsidRPr="009E3F83">
        <w:rPr>
          <w:rFonts w:ascii="Arial" w:eastAsia="Helvetica" w:hAnsi="Arial" w:cs="Arial"/>
          <w:b/>
          <w:bCs/>
          <w:caps/>
          <w:color w:val="0A4149"/>
          <w:sz w:val="36"/>
          <w:szCs w:val="36"/>
          <w:lang w:val="en-US"/>
        </w:rPr>
        <w:t>It is not rocket science. We used to have it: Supporting Reusable Packaging</w:t>
      </w:r>
    </w:p>
    <w:p w14:paraId="564616D2" w14:textId="677EBC30"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 </w:t>
      </w:r>
    </w:p>
    <w:p w14:paraId="22D88791" w14:textId="2B7CA774"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Single-use packaging is one of the most visible symptoms of our throwaway culture. From coffee cups to takeaway containers, the sheer volume of waste created daily is staggering (and unsustainable).</w:t>
      </w:r>
    </w:p>
    <w:p w14:paraId="10E6C2D6" w14:textId="7BC8128D"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I just tried this morning to avoid buying plastics in general and for single use in particular, and in real conditions it is </w:t>
      </w:r>
      <w:proofErr w:type="gramStart"/>
      <w:r w:rsidRPr="009E3F83">
        <w:rPr>
          <w:rFonts w:ascii="Arial" w:eastAsia="Encode Sans" w:hAnsi="Arial" w:cs="Arial"/>
          <w:color w:val="333333"/>
          <w:lang w:val="en-US"/>
        </w:rPr>
        <w:t>really hard</w:t>
      </w:r>
      <w:proofErr w:type="gramEnd"/>
      <w:r w:rsidRPr="009E3F83">
        <w:rPr>
          <w:rFonts w:ascii="Arial" w:eastAsia="Encode Sans" w:hAnsi="Arial" w:cs="Arial"/>
          <w:color w:val="333333"/>
          <w:lang w:val="en-US"/>
        </w:rPr>
        <w:t xml:space="preserve">, if not impossible. Businesses do not favour these options, nor do the government regulate them enough to protect us from irresponsible business models. Recycling alone cannot solve the problem. What we need is a shift toward </w:t>
      </w:r>
      <w:r w:rsidRPr="009E3F83">
        <w:rPr>
          <w:rFonts w:ascii="Arial" w:eastAsia="Encode Sans" w:hAnsi="Arial" w:cs="Arial"/>
          <w:b/>
          <w:bCs/>
          <w:color w:val="333333"/>
          <w:lang w:val="en-US"/>
        </w:rPr>
        <w:t>reusable packaging systems</w:t>
      </w:r>
      <w:r w:rsidRPr="009E3F83">
        <w:rPr>
          <w:rFonts w:ascii="Arial" w:eastAsia="Encode Sans" w:hAnsi="Arial" w:cs="Arial"/>
          <w:color w:val="333333"/>
          <w:lang w:val="en-US"/>
        </w:rPr>
        <w:t xml:space="preserve"> that cut waste at the source and embed circularity into everyday life. It is not difficult; we had in the past all through the 20th century with less technology. Cristal milk glasses, textile bread bags for daily made local bread. You name it.</w:t>
      </w:r>
    </w:p>
    <w:p w14:paraId="21E61BC4" w14:textId="5BE16234" w:rsidR="005F26B3" w:rsidRPr="009E3F83" w:rsidRDefault="52B723E2" w:rsidP="30A85797">
      <w:pPr>
        <w:shd w:val="clear" w:color="auto" w:fill="FFFFFF" w:themeFill="background1"/>
        <w:spacing w:after="150" w:line="276" w:lineRule="auto"/>
        <w:jc w:val="both"/>
        <w:rPr>
          <w:rFonts w:ascii="Arial" w:eastAsia="Encode Sans" w:hAnsi="Arial" w:cs="Arial"/>
          <w:color w:val="333333"/>
          <w:lang w:val="en-US"/>
        </w:rPr>
      </w:pPr>
      <w:r w:rsidRPr="009E3F83">
        <w:rPr>
          <w:rFonts w:ascii="Arial" w:hAnsi="Arial" w:cs="Arial"/>
          <w:noProof/>
        </w:rPr>
        <w:drawing>
          <wp:inline distT="0" distB="0" distL="0" distR="0" wp14:anchorId="617A82FA" wp14:editId="376B47AE">
            <wp:extent cx="4991100" cy="2181225"/>
            <wp:effectExtent l="0" t="0" r="0" b="0"/>
            <wp:docPr id="694154557" name="drawing" title="1960 la Alameda y la fabrica de leche Delicias, la de las …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54557" name="Picture 694154557"/>
                    <pic:cNvPicPr/>
                  </pic:nvPicPr>
                  <pic:blipFill>
                    <a:blip r:embed="rId8">
                      <a:extLst>
                        <a:ext uri="{28A0092B-C50C-407E-A947-70E740481C1C}">
                          <a14:useLocalDpi xmlns:a14="http://schemas.microsoft.com/office/drawing/2010/main"/>
                        </a:ext>
                      </a:extLst>
                    </a:blip>
                    <a:stretch>
                      <a:fillRect/>
                    </a:stretch>
                  </pic:blipFill>
                  <pic:spPr>
                    <a:xfrm>
                      <a:off x="0" y="0"/>
                      <a:ext cx="4991100" cy="2181225"/>
                    </a:xfrm>
                    <a:prstGeom prst="rect">
                      <a:avLst/>
                    </a:prstGeom>
                  </pic:spPr>
                </pic:pic>
              </a:graphicData>
            </a:graphic>
          </wp:inline>
        </w:drawing>
      </w:r>
      <w:r w:rsidRPr="009E3F83">
        <w:rPr>
          <w:rFonts w:ascii="Arial" w:eastAsia="Encode Sans" w:hAnsi="Arial" w:cs="Arial"/>
          <w:color w:val="333333"/>
          <w:lang w:val="en-US"/>
        </w:rPr>
        <w:t xml:space="preserve"> </w:t>
      </w:r>
      <w:r w:rsidRPr="009E3F83">
        <w:rPr>
          <w:rFonts w:ascii="Arial" w:hAnsi="Arial" w:cs="Arial"/>
          <w:noProof/>
        </w:rPr>
        <w:drawing>
          <wp:inline distT="0" distB="0" distL="0" distR="0" wp14:anchorId="32147025" wp14:editId="11A58A03">
            <wp:extent cx="1666875" cy="2219325"/>
            <wp:effectExtent l="0" t="0" r="0" b="0"/>
            <wp:docPr id="496046819" name="drawing" title="Botellas de leche a la antigua Stock de Foto gratis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6819" name="Picture 496046819"/>
                    <pic:cNvPicPr/>
                  </pic:nvPicPr>
                  <pic:blipFill>
                    <a:blip r:embed="rId9">
                      <a:extLst>
                        <a:ext uri="{28A0092B-C50C-407E-A947-70E740481C1C}">
                          <a14:useLocalDpi xmlns:a14="http://schemas.microsoft.com/office/drawing/2010/main"/>
                        </a:ext>
                      </a:extLst>
                    </a:blip>
                    <a:stretch>
                      <a:fillRect/>
                    </a:stretch>
                  </pic:blipFill>
                  <pic:spPr>
                    <a:xfrm>
                      <a:off x="0" y="0"/>
                      <a:ext cx="1666875" cy="2219325"/>
                    </a:xfrm>
                    <a:prstGeom prst="rect">
                      <a:avLst/>
                    </a:prstGeom>
                  </pic:spPr>
                </pic:pic>
              </a:graphicData>
            </a:graphic>
          </wp:inline>
        </w:drawing>
      </w:r>
    </w:p>
    <w:p w14:paraId="303E7705" w14:textId="4462C0E1" w:rsidR="005F26B3" w:rsidRDefault="52B723E2" w:rsidP="30A85797">
      <w:pPr>
        <w:shd w:val="clear" w:color="auto" w:fill="FFFFFF" w:themeFill="background1"/>
        <w:spacing w:after="150" w:line="276" w:lineRule="auto"/>
        <w:jc w:val="both"/>
        <w:rPr>
          <w:rFonts w:ascii="Arial" w:eastAsia="Encode Sans" w:hAnsi="Arial" w:cs="Arial"/>
          <w:i/>
          <w:iCs/>
          <w:color w:val="333333"/>
          <w:sz w:val="20"/>
          <w:szCs w:val="20"/>
          <w:lang w:val="en-US"/>
        </w:rPr>
      </w:pPr>
      <w:r w:rsidRPr="009E3F83">
        <w:rPr>
          <w:rFonts w:ascii="Arial" w:eastAsia="Encode Sans" w:hAnsi="Arial" w:cs="Arial"/>
          <w:i/>
          <w:iCs/>
          <w:color w:val="333333"/>
          <w:sz w:val="20"/>
          <w:szCs w:val="20"/>
          <w:lang w:val="en-US"/>
        </w:rPr>
        <w:t xml:space="preserve">First photo from </w:t>
      </w:r>
      <w:hyperlink r:id="rId10">
        <w:r w:rsidRPr="009E3F83">
          <w:rPr>
            <w:rStyle w:val="Hipervnculo"/>
            <w:rFonts w:ascii="Arial" w:eastAsia="Encode Sans" w:hAnsi="Arial" w:cs="Arial"/>
            <w:i/>
            <w:iCs/>
            <w:color w:val="028287"/>
            <w:sz w:val="20"/>
            <w:szCs w:val="20"/>
            <w:lang w:val="en-US"/>
          </w:rPr>
          <w:t>Flickr</w:t>
        </w:r>
      </w:hyperlink>
      <w:r w:rsidRPr="009E3F83">
        <w:rPr>
          <w:rFonts w:ascii="Arial" w:eastAsia="Encode Sans" w:hAnsi="Arial" w:cs="Arial"/>
          <w:i/>
          <w:iCs/>
          <w:color w:val="333333"/>
          <w:sz w:val="20"/>
          <w:szCs w:val="20"/>
          <w:lang w:val="en-US"/>
        </w:rPr>
        <w:t>, licensed under CC BY-ND 2.0 – Second photo from Public Domain Pictures under CC0 1.0</w:t>
      </w:r>
    </w:p>
    <w:p w14:paraId="2E2AC055" w14:textId="77777777" w:rsidR="009E3F83" w:rsidRPr="009E3F83" w:rsidRDefault="009E3F83" w:rsidP="30A85797">
      <w:pPr>
        <w:shd w:val="clear" w:color="auto" w:fill="FFFFFF" w:themeFill="background1"/>
        <w:spacing w:after="150" w:line="276" w:lineRule="auto"/>
        <w:jc w:val="both"/>
        <w:rPr>
          <w:rFonts w:ascii="Arial" w:hAnsi="Arial" w:cs="Arial"/>
          <w:sz w:val="20"/>
          <w:szCs w:val="20"/>
        </w:rPr>
      </w:pPr>
    </w:p>
    <w:p w14:paraId="06A62FBD" w14:textId="6B1C0A37" w:rsidR="005F26B3" w:rsidRPr="009E3F83" w:rsidRDefault="52B723E2" w:rsidP="30A85797">
      <w:pPr>
        <w:pStyle w:val="Ttulo3"/>
        <w:shd w:val="clear" w:color="auto" w:fill="FFFFFF" w:themeFill="background1"/>
        <w:spacing w:before="0" w:after="150" w:line="276" w:lineRule="auto"/>
        <w:jc w:val="both"/>
        <w:rPr>
          <w:rFonts w:ascii="Arial" w:hAnsi="Arial" w:cs="Arial"/>
        </w:rPr>
      </w:pPr>
      <w:r w:rsidRPr="009E3F83">
        <w:rPr>
          <w:rFonts w:ascii="Arial" w:eastAsia="Helvetica" w:hAnsi="Arial" w:cs="Arial"/>
          <w:b/>
          <w:bCs/>
          <w:caps/>
          <w:color w:val="0A4149"/>
          <w:lang w:val="en-US"/>
        </w:rPr>
        <w:lastRenderedPageBreak/>
        <w:t>Why Reusable Packaging Matters</w:t>
      </w:r>
    </w:p>
    <w:p w14:paraId="5E53BA26" w14:textId="7332D780"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Reusable packaging, if not reduces consumption, reduces waste, lowers emissions, and conserves resources. Unlike recycling, which often downcycles materials into lower-value products, reuse maintains materials in circulation at their highest value for longer. It’s not just an environmental </w:t>
      </w:r>
      <w:proofErr w:type="gramStart"/>
      <w:r w:rsidRPr="009E3F83">
        <w:rPr>
          <w:rFonts w:ascii="Arial" w:eastAsia="Encode Sans" w:hAnsi="Arial" w:cs="Arial"/>
          <w:color w:val="333333"/>
          <w:lang w:val="en-US"/>
        </w:rPr>
        <w:t>win, but</w:t>
      </w:r>
      <w:proofErr w:type="gramEnd"/>
      <w:r w:rsidRPr="009E3F83">
        <w:rPr>
          <w:rFonts w:ascii="Arial" w:eastAsia="Encode Sans" w:hAnsi="Arial" w:cs="Arial"/>
          <w:color w:val="333333"/>
          <w:lang w:val="en-US"/>
        </w:rPr>
        <w:t xml:space="preserve"> also creates economic opportunities for businesses that adopt innovative service models, like deposit-return systems, refill stations, or subscription-based reusable container services.</w:t>
      </w:r>
    </w:p>
    <w:p w14:paraId="35DFCD73" w14:textId="419EC76E"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But adoption has been slow. Why? Because throwaway packaging is cheap, convenient, and backed by entrenched supply chains. Businesses fear losing benefits by added costs, and consumers often don’t see viable alternatives. Overcoming this inertia requires both </w:t>
      </w:r>
      <w:r w:rsidRPr="009E3F83">
        <w:rPr>
          <w:rFonts w:ascii="Arial" w:eastAsia="Encode Sans" w:hAnsi="Arial" w:cs="Arial"/>
          <w:b/>
          <w:bCs/>
          <w:color w:val="333333"/>
          <w:lang w:val="en-US"/>
        </w:rPr>
        <w:t>community-level engagement</w:t>
      </w:r>
      <w:r w:rsidRPr="009E3F83">
        <w:rPr>
          <w:rFonts w:ascii="Arial" w:eastAsia="Encode Sans" w:hAnsi="Arial" w:cs="Arial"/>
          <w:color w:val="333333"/>
          <w:lang w:val="en-US"/>
        </w:rPr>
        <w:t xml:space="preserve"> and </w:t>
      </w:r>
      <w:r w:rsidRPr="009E3F83">
        <w:rPr>
          <w:rFonts w:ascii="Arial" w:eastAsia="Encode Sans" w:hAnsi="Arial" w:cs="Arial"/>
          <w:b/>
          <w:bCs/>
          <w:color w:val="333333"/>
          <w:lang w:val="en-US"/>
        </w:rPr>
        <w:t>corporate accountability</w:t>
      </w:r>
      <w:r w:rsidRPr="009E3F83">
        <w:rPr>
          <w:rFonts w:ascii="Arial" w:eastAsia="Encode Sans" w:hAnsi="Arial" w:cs="Arial"/>
          <w:color w:val="333333"/>
          <w:lang w:val="en-US"/>
        </w:rPr>
        <w:t>.</w:t>
      </w:r>
    </w:p>
    <w:p w14:paraId="06E17AF1" w14:textId="46DCE359"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 </w:t>
      </w:r>
    </w:p>
    <w:p w14:paraId="1B4C9AAD" w14:textId="221B823A" w:rsidR="005F26B3" w:rsidRPr="009E3F83" w:rsidRDefault="52B723E2" w:rsidP="30A85797">
      <w:pPr>
        <w:pStyle w:val="Ttulo3"/>
        <w:shd w:val="clear" w:color="auto" w:fill="FFFFFF" w:themeFill="background1"/>
        <w:spacing w:before="0" w:after="150" w:line="276" w:lineRule="auto"/>
        <w:jc w:val="both"/>
        <w:rPr>
          <w:rFonts w:ascii="Arial" w:hAnsi="Arial" w:cs="Arial"/>
        </w:rPr>
      </w:pPr>
      <w:r w:rsidRPr="009E3F83">
        <w:rPr>
          <w:rFonts w:ascii="Arial" w:eastAsia="Helvetica" w:hAnsi="Arial" w:cs="Arial"/>
          <w:b/>
          <w:bCs/>
          <w:caps/>
          <w:color w:val="0A4149"/>
          <w:lang w:val="en-US"/>
        </w:rPr>
        <w:t>How Communities Can Encourage Reuse</w:t>
      </w:r>
    </w:p>
    <w:p w14:paraId="61E5B58E" w14:textId="425B4306"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Communities play a crucial role in normalizing reuse:</w:t>
      </w:r>
    </w:p>
    <w:p w14:paraId="6EA87D26" w14:textId="546DA86D" w:rsidR="005F26B3" w:rsidRPr="009E3F83" w:rsidRDefault="52B723E2" w:rsidP="30A85797">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b/>
          <w:bCs/>
          <w:color w:val="333333"/>
          <w:lang w:val="en-US"/>
        </w:rPr>
        <w:t>Local governments</w:t>
      </w:r>
      <w:r w:rsidRPr="009E3F83">
        <w:rPr>
          <w:rFonts w:ascii="Arial" w:eastAsia="Encode Sans" w:hAnsi="Arial" w:cs="Arial"/>
          <w:color w:val="333333"/>
          <w:lang w:val="en-US"/>
        </w:rPr>
        <w:t xml:space="preserve"> can implement deposit-return schemes or require businesses to offer reusable options.</w:t>
      </w:r>
    </w:p>
    <w:p w14:paraId="138662C5" w14:textId="0295A3B5" w:rsidR="005F26B3" w:rsidRPr="009E3F83" w:rsidRDefault="52B723E2" w:rsidP="30A85797">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b/>
          <w:bCs/>
          <w:color w:val="333333"/>
          <w:lang w:val="en-US"/>
        </w:rPr>
        <w:t>Schools and universities</w:t>
      </w:r>
      <w:r w:rsidRPr="009E3F83">
        <w:rPr>
          <w:rFonts w:ascii="Arial" w:eastAsia="Encode Sans" w:hAnsi="Arial" w:cs="Arial"/>
          <w:color w:val="333333"/>
          <w:lang w:val="en-US"/>
        </w:rPr>
        <w:t xml:space="preserve"> can introduce reusable container systems in cafeterias to set behavioural norms early.</w:t>
      </w:r>
    </w:p>
    <w:p w14:paraId="4CCE0669" w14:textId="44DCF29A" w:rsidR="005F26B3" w:rsidRPr="009E3F83" w:rsidRDefault="52B723E2" w:rsidP="30A85797">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b/>
          <w:bCs/>
          <w:color w:val="333333"/>
          <w:lang w:val="en-US"/>
        </w:rPr>
        <w:t>Citizen initiatives</w:t>
      </w:r>
      <w:r w:rsidRPr="009E3F83">
        <w:rPr>
          <w:rFonts w:ascii="Arial" w:eastAsia="Encode Sans" w:hAnsi="Arial" w:cs="Arial"/>
          <w:color w:val="333333"/>
          <w:lang w:val="en-US"/>
        </w:rPr>
        <w:t>—from zero-waste shops to neighbourhood swap networks—create visible, grassroots alternatives.</w:t>
      </w:r>
    </w:p>
    <w:p w14:paraId="6614FD98" w14:textId="0B55CFF7"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When reuse becomes easy, affordable, and socially accepted, adoption skyrockets.</w:t>
      </w:r>
    </w:p>
    <w:p w14:paraId="239A1F40" w14:textId="2EC7C0A6"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 </w:t>
      </w:r>
    </w:p>
    <w:p w14:paraId="114EE21B" w14:textId="4A10DA3E" w:rsidR="005F26B3" w:rsidRPr="009E3F83" w:rsidRDefault="52B723E2" w:rsidP="30A85797">
      <w:pPr>
        <w:pStyle w:val="Ttulo3"/>
        <w:shd w:val="clear" w:color="auto" w:fill="FFFFFF" w:themeFill="background1"/>
        <w:spacing w:before="0" w:after="150" w:line="276" w:lineRule="auto"/>
        <w:jc w:val="both"/>
        <w:rPr>
          <w:rFonts w:ascii="Arial" w:hAnsi="Arial" w:cs="Arial"/>
        </w:rPr>
      </w:pPr>
      <w:r w:rsidRPr="009E3F83">
        <w:rPr>
          <w:rFonts w:ascii="Arial" w:eastAsia="Helvetica" w:hAnsi="Arial" w:cs="Arial"/>
          <w:b/>
          <w:bCs/>
          <w:caps/>
          <w:color w:val="0A4149"/>
          <w:lang w:val="en-US"/>
        </w:rPr>
        <w:t>How Businesses Can Lead</w:t>
      </w:r>
    </w:p>
    <w:p w14:paraId="2CB3729B" w14:textId="583A81CE"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Businesses can no longer hide behind the “consumer choice” excuse. They have the resources and influence </w:t>
      </w:r>
      <w:proofErr w:type="gramStart"/>
      <w:r w:rsidRPr="009E3F83">
        <w:rPr>
          <w:rFonts w:ascii="Arial" w:eastAsia="Encode Sans" w:hAnsi="Arial" w:cs="Arial"/>
          <w:color w:val="333333"/>
          <w:lang w:val="en-US"/>
        </w:rPr>
        <w:t>to</w:t>
      </w:r>
      <w:proofErr w:type="gramEnd"/>
      <w:r w:rsidRPr="009E3F83">
        <w:rPr>
          <w:rFonts w:ascii="Arial" w:eastAsia="Encode Sans" w:hAnsi="Arial" w:cs="Arial"/>
          <w:color w:val="333333"/>
          <w:lang w:val="en-US"/>
        </w:rPr>
        <w:t xml:space="preserve"> redesign packaging models that prioritize reuse. Some actions include:</w:t>
      </w:r>
    </w:p>
    <w:p w14:paraId="1AB4E1EB" w14:textId="7D3F530A" w:rsidR="005F26B3" w:rsidRPr="009E3F83" w:rsidRDefault="52B723E2" w:rsidP="30A8579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color w:val="333333"/>
          <w:lang w:val="en-US"/>
        </w:rPr>
        <w:t>Partnering with logistics providers for reverse collection of reusable containers.</w:t>
      </w:r>
    </w:p>
    <w:p w14:paraId="20172FF2" w14:textId="56E8B642" w:rsidR="005F26B3" w:rsidRPr="009E3F83" w:rsidRDefault="52B723E2" w:rsidP="30A8579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color w:val="333333"/>
          <w:lang w:val="en-US"/>
        </w:rPr>
        <w:t>Offering discounts or loyalty points for customers who opt into reuse programs.</w:t>
      </w:r>
    </w:p>
    <w:p w14:paraId="11B64365" w14:textId="6E904DCC" w:rsidR="005F26B3" w:rsidRPr="009E3F83" w:rsidRDefault="52B723E2" w:rsidP="30A8579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E3F83">
        <w:rPr>
          <w:rFonts w:ascii="Arial" w:eastAsia="Encode Sans" w:hAnsi="Arial" w:cs="Arial"/>
          <w:color w:val="333333"/>
          <w:lang w:val="en-US"/>
        </w:rPr>
        <w:t>Redesigning packaging for durability, stackability, and easy cleaning.</w:t>
      </w:r>
    </w:p>
    <w:p w14:paraId="67F5CB90" w14:textId="01E1E70B"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Forward-thinking companies are discovering that reuse is not a burden, it’s a way to build stronger brand loyalty and cut long-term costs. Once again, is not rocket science, it is just responsible business.</w:t>
      </w:r>
    </w:p>
    <w:p w14:paraId="17645F77" w14:textId="440DACE3"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If companies do not want to be accountable for their abuses or law misinterpretation, policy makers, as elected politicians representing citizens interests, must step in to create a level playing field. Subsidies and tax breaks for reusable systems, bans on unnecessary single-use items, and extended producer responsibility (EPR) laws can accelerate the transition. Without regulatory frameworks, voluntary adoption will remain too slow to meet climate and waste-reduction goals.</w:t>
      </w:r>
    </w:p>
    <w:p w14:paraId="7D0CA203" w14:textId="4A046120" w:rsidR="005F26B3" w:rsidRPr="009E3F83" w:rsidRDefault="52B723E2" w:rsidP="30A85797">
      <w:pPr>
        <w:shd w:val="clear" w:color="auto" w:fill="FFFFFF" w:themeFill="background1"/>
        <w:spacing w:after="150" w:line="276" w:lineRule="auto"/>
        <w:jc w:val="both"/>
        <w:rPr>
          <w:rFonts w:ascii="Arial" w:hAnsi="Arial" w:cs="Arial"/>
          <w:sz w:val="28"/>
          <w:szCs w:val="28"/>
        </w:rPr>
      </w:pPr>
      <w:r w:rsidRPr="009E3F83">
        <w:rPr>
          <w:rFonts w:ascii="Arial" w:eastAsia="Encode Sans" w:hAnsi="Arial" w:cs="Arial"/>
          <w:color w:val="333333"/>
          <w:lang w:val="en-US"/>
        </w:rPr>
        <w:lastRenderedPageBreak/>
        <w:t xml:space="preserve"> </w:t>
      </w:r>
    </w:p>
    <w:p w14:paraId="5913B9F9" w14:textId="64857EE4" w:rsidR="005F26B3" w:rsidRPr="009E3F83" w:rsidRDefault="52B723E2" w:rsidP="30A85797">
      <w:pPr>
        <w:pStyle w:val="Ttulo3"/>
        <w:shd w:val="clear" w:color="auto" w:fill="FFFFFF" w:themeFill="background1"/>
        <w:spacing w:before="0" w:after="150" w:line="276" w:lineRule="auto"/>
        <w:jc w:val="both"/>
        <w:rPr>
          <w:rFonts w:ascii="Arial" w:hAnsi="Arial" w:cs="Arial"/>
        </w:rPr>
      </w:pPr>
      <w:r w:rsidRPr="009E3F83">
        <w:rPr>
          <w:rFonts w:ascii="Arial" w:eastAsia="Helvetica" w:hAnsi="Arial" w:cs="Arial"/>
          <w:b/>
          <w:bCs/>
          <w:caps/>
          <w:color w:val="0A4149"/>
          <w:lang w:val="en-US"/>
        </w:rPr>
        <w:t>Why the MAGNO Project Matters</w:t>
      </w:r>
    </w:p>
    <w:p w14:paraId="2BE2D220" w14:textId="038AF5E3"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This is where initiatives like the </w:t>
      </w:r>
      <w:r w:rsidRPr="009E3F83">
        <w:rPr>
          <w:rFonts w:ascii="Arial" w:eastAsia="Encode Sans" w:hAnsi="Arial" w:cs="Arial"/>
          <w:b/>
          <w:bCs/>
          <w:color w:val="333333"/>
          <w:lang w:val="en-US"/>
        </w:rPr>
        <w:t>MAGNO project</w:t>
      </w:r>
      <w:r w:rsidRPr="009E3F83">
        <w:rPr>
          <w:rFonts w:ascii="Arial" w:eastAsia="Encode Sans" w:hAnsi="Arial" w:cs="Arial"/>
          <w:color w:val="333333"/>
          <w:lang w:val="en-US"/>
        </w:rPr>
        <w:t xml:space="preserve"> come in. MAGNO is important because it brings together businesses, communities, and policymakers to pilot </w:t>
      </w:r>
      <w:r w:rsidRPr="009E3F83">
        <w:rPr>
          <w:rFonts w:ascii="Arial" w:eastAsia="Encode Sans" w:hAnsi="Arial" w:cs="Arial"/>
          <w:b/>
          <w:bCs/>
          <w:color w:val="333333"/>
          <w:lang w:val="en-US"/>
        </w:rPr>
        <w:t>scalable reusable packaging systems</w:t>
      </w:r>
      <w:r w:rsidRPr="009E3F83">
        <w:rPr>
          <w:rFonts w:ascii="Arial" w:eastAsia="Encode Sans" w:hAnsi="Arial" w:cs="Arial"/>
          <w:color w:val="333333"/>
          <w:lang w:val="en-US"/>
        </w:rPr>
        <w:t>. Instead of treating reuse as a niche experiment, MAGNO tests real-world solutions that can be replicated across regions and industries. By combining technical innovation (tracking, cleaning, logistics) with social innovation (consumer incentives, awareness campaigns), the project addresses the practical barriers that have long slowed down reuse adoption.</w:t>
      </w:r>
    </w:p>
    <w:p w14:paraId="37FB51A0" w14:textId="11C1DF37"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Most importantly, MAGNO proves that collaboration—not isolated efforts—is the key. It shows how </w:t>
      </w:r>
      <w:r w:rsidRPr="009E3F83">
        <w:rPr>
          <w:rFonts w:ascii="Arial" w:eastAsia="Encode Sans" w:hAnsi="Arial" w:cs="Arial"/>
          <w:b/>
          <w:bCs/>
          <w:color w:val="333333"/>
          <w:lang w:val="en-US"/>
        </w:rPr>
        <w:t>shared infrastructure and cross-sector partnerships</w:t>
      </w:r>
      <w:r w:rsidRPr="009E3F83">
        <w:rPr>
          <w:rFonts w:ascii="Arial" w:eastAsia="Encode Sans" w:hAnsi="Arial" w:cs="Arial"/>
          <w:color w:val="333333"/>
          <w:lang w:val="en-US"/>
        </w:rPr>
        <w:t xml:space="preserve"> can make reuse economically viable and socially attractive, setting a blueprint for others to follow.</w:t>
      </w:r>
    </w:p>
    <w:p w14:paraId="3A082BFB" w14:textId="40A2AD81" w:rsidR="005F26B3" w:rsidRPr="009E3F83" w:rsidRDefault="52B723E2" w:rsidP="30A85797">
      <w:pPr>
        <w:shd w:val="clear" w:color="auto" w:fill="FFFFFF" w:themeFill="background1"/>
        <w:spacing w:after="150" w:line="276" w:lineRule="auto"/>
        <w:jc w:val="both"/>
        <w:rPr>
          <w:rFonts w:ascii="Arial" w:hAnsi="Arial" w:cs="Arial"/>
        </w:rPr>
      </w:pPr>
      <w:r w:rsidRPr="009E3F83">
        <w:rPr>
          <w:rFonts w:ascii="Arial" w:eastAsia="Encode Sans" w:hAnsi="Arial" w:cs="Arial"/>
          <w:color w:val="333333"/>
          <w:lang w:val="en-US"/>
        </w:rPr>
        <w:t xml:space="preserve"> </w:t>
      </w:r>
    </w:p>
    <w:p w14:paraId="5E2A81EC" w14:textId="3E3582F7" w:rsidR="005F26B3" w:rsidRPr="009E3F83" w:rsidRDefault="52B723E2" w:rsidP="30A85797">
      <w:pPr>
        <w:pStyle w:val="Ttulo3"/>
        <w:shd w:val="clear" w:color="auto" w:fill="FFFFFF" w:themeFill="background1"/>
        <w:spacing w:before="0" w:after="150" w:line="276" w:lineRule="auto"/>
        <w:jc w:val="both"/>
        <w:rPr>
          <w:rFonts w:ascii="Arial" w:hAnsi="Arial" w:cs="Arial"/>
        </w:rPr>
      </w:pPr>
      <w:r w:rsidRPr="009E3F83">
        <w:rPr>
          <w:rFonts w:ascii="Arial" w:eastAsia="Helvetica" w:hAnsi="Arial" w:cs="Arial"/>
          <w:b/>
          <w:bCs/>
          <w:caps/>
          <w:color w:val="0A4149"/>
          <w:lang w:val="en-US"/>
        </w:rPr>
        <w:t>In sum…</w:t>
      </w:r>
    </w:p>
    <w:p w14:paraId="5C1A07E2" w14:textId="084F6ADC" w:rsidR="005F26B3" w:rsidRPr="009E3F83" w:rsidRDefault="52B723E2" w:rsidP="30A85797">
      <w:pPr>
        <w:spacing w:before="240" w:after="240" w:line="276" w:lineRule="auto"/>
        <w:jc w:val="both"/>
        <w:rPr>
          <w:rFonts w:ascii="Arial" w:hAnsi="Arial" w:cs="Arial"/>
        </w:rPr>
      </w:pPr>
      <w:r w:rsidRPr="009E3F83">
        <w:rPr>
          <w:rFonts w:ascii="Arial" w:eastAsia="Encode Sans" w:hAnsi="Arial" w:cs="Arial"/>
          <w:color w:val="333333"/>
          <w:lang w:val="en-US"/>
        </w:rPr>
        <w:t>Reusable packaging is not a utopian idea, it’s a practical, necessary step toward a sustainable future. Communities can normalize it, businesses can scale it, and projects like MAGNO demonstrate how to make it work in practice. The challenge is not technological, it’s cultural and structural. By supporting reuse, we are not just reducing waste; we are reshaping the relationship between consumers, companies, and the planet. There is no planet nor population B.</w:t>
      </w:r>
    </w:p>
    <w:sectPr w:rsidR="005F26B3" w:rsidRPr="009E3F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92933"/>
    <w:multiLevelType w:val="hybridMultilevel"/>
    <w:tmpl w:val="FFFFFFFF"/>
    <w:lvl w:ilvl="0" w:tplc="F9D62BD8">
      <w:start w:val="1"/>
      <w:numFmt w:val="bullet"/>
      <w:lvlText w:val=""/>
      <w:lvlJc w:val="left"/>
      <w:pPr>
        <w:ind w:left="720" w:hanging="360"/>
      </w:pPr>
      <w:rPr>
        <w:rFonts w:ascii="Symbol" w:hAnsi="Symbol" w:hint="default"/>
      </w:rPr>
    </w:lvl>
    <w:lvl w:ilvl="1" w:tplc="4F62FC1E">
      <w:start w:val="1"/>
      <w:numFmt w:val="bullet"/>
      <w:lvlText w:val="o"/>
      <w:lvlJc w:val="left"/>
      <w:pPr>
        <w:ind w:left="1440" w:hanging="360"/>
      </w:pPr>
      <w:rPr>
        <w:rFonts w:ascii="Courier New" w:hAnsi="Courier New" w:hint="default"/>
      </w:rPr>
    </w:lvl>
    <w:lvl w:ilvl="2" w:tplc="BA722794">
      <w:start w:val="1"/>
      <w:numFmt w:val="bullet"/>
      <w:lvlText w:val=""/>
      <w:lvlJc w:val="left"/>
      <w:pPr>
        <w:ind w:left="2160" w:hanging="360"/>
      </w:pPr>
      <w:rPr>
        <w:rFonts w:ascii="Wingdings" w:hAnsi="Wingdings" w:hint="default"/>
      </w:rPr>
    </w:lvl>
    <w:lvl w:ilvl="3" w:tplc="D00E626E">
      <w:start w:val="1"/>
      <w:numFmt w:val="bullet"/>
      <w:lvlText w:val=""/>
      <w:lvlJc w:val="left"/>
      <w:pPr>
        <w:ind w:left="2880" w:hanging="360"/>
      </w:pPr>
      <w:rPr>
        <w:rFonts w:ascii="Symbol" w:hAnsi="Symbol" w:hint="default"/>
      </w:rPr>
    </w:lvl>
    <w:lvl w:ilvl="4" w:tplc="7898FE16">
      <w:start w:val="1"/>
      <w:numFmt w:val="bullet"/>
      <w:lvlText w:val="o"/>
      <w:lvlJc w:val="left"/>
      <w:pPr>
        <w:ind w:left="3600" w:hanging="360"/>
      </w:pPr>
      <w:rPr>
        <w:rFonts w:ascii="Courier New" w:hAnsi="Courier New" w:hint="default"/>
      </w:rPr>
    </w:lvl>
    <w:lvl w:ilvl="5" w:tplc="37ECDB8C">
      <w:start w:val="1"/>
      <w:numFmt w:val="bullet"/>
      <w:lvlText w:val=""/>
      <w:lvlJc w:val="left"/>
      <w:pPr>
        <w:ind w:left="4320" w:hanging="360"/>
      </w:pPr>
      <w:rPr>
        <w:rFonts w:ascii="Wingdings" w:hAnsi="Wingdings" w:hint="default"/>
      </w:rPr>
    </w:lvl>
    <w:lvl w:ilvl="6" w:tplc="15907616">
      <w:start w:val="1"/>
      <w:numFmt w:val="bullet"/>
      <w:lvlText w:val=""/>
      <w:lvlJc w:val="left"/>
      <w:pPr>
        <w:ind w:left="5040" w:hanging="360"/>
      </w:pPr>
      <w:rPr>
        <w:rFonts w:ascii="Symbol" w:hAnsi="Symbol" w:hint="default"/>
      </w:rPr>
    </w:lvl>
    <w:lvl w:ilvl="7" w:tplc="C156939A">
      <w:start w:val="1"/>
      <w:numFmt w:val="bullet"/>
      <w:lvlText w:val="o"/>
      <w:lvlJc w:val="left"/>
      <w:pPr>
        <w:ind w:left="5760" w:hanging="360"/>
      </w:pPr>
      <w:rPr>
        <w:rFonts w:ascii="Courier New" w:hAnsi="Courier New" w:hint="default"/>
      </w:rPr>
    </w:lvl>
    <w:lvl w:ilvl="8" w:tplc="0B482F58">
      <w:start w:val="1"/>
      <w:numFmt w:val="bullet"/>
      <w:lvlText w:val=""/>
      <w:lvlJc w:val="left"/>
      <w:pPr>
        <w:ind w:left="6480" w:hanging="360"/>
      </w:pPr>
      <w:rPr>
        <w:rFonts w:ascii="Wingdings" w:hAnsi="Wingdings" w:hint="default"/>
      </w:rPr>
    </w:lvl>
  </w:abstractNum>
  <w:abstractNum w:abstractNumId="1" w15:restartNumberingAfterBreak="0">
    <w:nsid w:val="2F27C09B"/>
    <w:multiLevelType w:val="hybridMultilevel"/>
    <w:tmpl w:val="E5768438"/>
    <w:lvl w:ilvl="0" w:tplc="DBCA7424">
      <w:start w:val="1"/>
      <w:numFmt w:val="bullet"/>
      <w:lvlText w:val=""/>
      <w:lvlJc w:val="left"/>
      <w:pPr>
        <w:ind w:left="720" w:hanging="360"/>
      </w:pPr>
      <w:rPr>
        <w:rFonts w:ascii="Symbol" w:hAnsi="Symbol" w:hint="default"/>
      </w:rPr>
    </w:lvl>
    <w:lvl w:ilvl="1" w:tplc="160E5A72">
      <w:start w:val="1"/>
      <w:numFmt w:val="bullet"/>
      <w:lvlText w:val="o"/>
      <w:lvlJc w:val="left"/>
      <w:pPr>
        <w:ind w:left="1440" w:hanging="360"/>
      </w:pPr>
      <w:rPr>
        <w:rFonts w:ascii="Courier New" w:hAnsi="Courier New" w:hint="default"/>
      </w:rPr>
    </w:lvl>
    <w:lvl w:ilvl="2" w:tplc="5D26032E">
      <w:start w:val="1"/>
      <w:numFmt w:val="bullet"/>
      <w:lvlText w:val=""/>
      <w:lvlJc w:val="left"/>
      <w:pPr>
        <w:ind w:left="2160" w:hanging="360"/>
      </w:pPr>
      <w:rPr>
        <w:rFonts w:ascii="Wingdings" w:hAnsi="Wingdings" w:hint="default"/>
      </w:rPr>
    </w:lvl>
    <w:lvl w:ilvl="3" w:tplc="601A2120">
      <w:start w:val="1"/>
      <w:numFmt w:val="bullet"/>
      <w:lvlText w:val=""/>
      <w:lvlJc w:val="left"/>
      <w:pPr>
        <w:ind w:left="2880" w:hanging="360"/>
      </w:pPr>
      <w:rPr>
        <w:rFonts w:ascii="Symbol" w:hAnsi="Symbol" w:hint="default"/>
      </w:rPr>
    </w:lvl>
    <w:lvl w:ilvl="4" w:tplc="37E6CBE0">
      <w:start w:val="1"/>
      <w:numFmt w:val="bullet"/>
      <w:lvlText w:val="o"/>
      <w:lvlJc w:val="left"/>
      <w:pPr>
        <w:ind w:left="3600" w:hanging="360"/>
      </w:pPr>
      <w:rPr>
        <w:rFonts w:ascii="Courier New" w:hAnsi="Courier New" w:hint="default"/>
      </w:rPr>
    </w:lvl>
    <w:lvl w:ilvl="5" w:tplc="FD540938">
      <w:start w:val="1"/>
      <w:numFmt w:val="bullet"/>
      <w:lvlText w:val=""/>
      <w:lvlJc w:val="left"/>
      <w:pPr>
        <w:ind w:left="4320" w:hanging="360"/>
      </w:pPr>
      <w:rPr>
        <w:rFonts w:ascii="Wingdings" w:hAnsi="Wingdings" w:hint="default"/>
      </w:rPr>
    </w:lvl>
    <w:lvl w:ilvl="6" w:tplc="2A7AF42C">
      <w:start w:val="1"/>
      <w:numFmt w:val="bullet"/>
      <w:lvlText w:val=""/>
      <w:lvlJc w:val="left"/>
      <w:pPr>
        <w:ind w:left="5040" w:hanging="360"/>
      </w:pPr>
      <w:rPr>
        <w:rFonts w:ascii="Symbol" w:hAnsi="Symbol" w:hint="default"/>
      </w:rPr>
    </w:lvl>
    <w:lvl w:ilvl="7" w:tplc="E45C2D9A">
      <w:start w:val="1"/>
      <w:numFmt w:val="bullet"/>
      <w:lvlText w:val="o"/>
      <w:lvlJc w:val="left"/>
      <w:pPr>
        <w:ind w:left="5760" w:hanging="360"/>
      </w:pPr>
      <w:rPr>
        <w:rFonts w:ascii="Courier New" w:hAnsi="Courier New" w:hint="default"/>
      </w:rPr>
    </w:lvl>
    <w:lvl w:ilvl="8" w:tplc="D8FE2B96">
      <w:start w:val="1"/>
      <w:numFmt w:val="bullet"/>
      <w:lvlText w:val=""/>
      <w:lvlJc w:val="left"/>
      <w:pPr>
        <w:ind w:left="6480" w:hanging="360"/>
      </w:pPr>
      <w:rPr>
        <w:rFonts w:ascii="Wingdings" w:hAnsi="Wingdings" w:hint="default"/>
      </w:rPr>
    </w:lvl>
  </w:abstractNum>
  <w:abstractNum w:abstractNumId="2" w15:restartNumberingAfterBreak="0">
    <w:nsid w:val="3380F421"/>
    <w:multiLevelType w:val="hybridMultilevel"/>
    <w:tmpl w:val="FFFFFFFF"/>
    <w:lvl w:ilvl="0" w:tplc="8FC051D4">
      <w:start w:val="1"/>
      <w:numFmt w:val="bullet"/>
      <w:lvlText w:val=""/>
      <w:lvlJc w:val="left"/>
      <w:pPr>
        <w:ind w:left="720" w:hanging="360"/>
      </w:pPr>
      <w:rPr>
        <w:rFonts w:ascii="Symbol" w:hAnsi="Symbol" w:hint="default"/>
      </w:rPr>
    </w:lvl>
    <w:lvl w:ilvl="1" w:tplc="BFFA8320">
      <w:start w:val="1"/>
      <w:numFmt w:val="bullet"/>
      <w:lvlText w:val="o"/>
      <w:lvlJc w:val="left"/>
      <w:pPr>
        <w:ind w:left="1440" w:hanging="360"/>
      </w:pPr>
      <w:rPr>
        <w:rFonts w:ascii="Courier New" w:hAnsi="Courier New" w:hint="default"/>
      </w:rPr>
    </w:lvl>
    <w:lvl w:ilvl="2" w:tplc="C6FAFE4C">
      <w:start w:val="1"/>
      <w:numFmt w:val="bullet"/>
      <w:lvlText w:val=""/>
      <w:lvlJc w:val="left"/>
      <w:pPr>
        <w:ind w:left="2160" w:hanging="360"/>
      </w:pPr>
      <w:rPr>
        <w:rFonts w:ascii="Wingdings" w:hAnsi="Wingdings" w:hint="default"/>
      </w:rPr>
    </w:lvl>
    <w:lvl w:ilvl="3" w:tplc="480C58E6">
      <w:start w:val="1"/>
      <w:numFmt w:val="bullet"/>
      <w:lvlText w:val=""/>
      <w:lvlJc w:val="left"/>
      <w:pPr>
        <w:ind w:left="2880" w:hanging="360"/>
      </w:pPr>
      <w:rPr>
        <w:rFonts w:ascii="Symbol" w:hAnsi="Symbol" w:hint="default"/>
      </w:rPr>
    </w:lvl>
    <w:lvl w:ilvl="4" w:tplc="CE088328">
      <w:start w:val="1"/>
      <w:numFmt w:val="bullet"/>
      <w:lvlText w:val="o"/>
      <w:lvlJc w:val="left"/>
      <w:pPr>
        <w:ind w:left="3600" w:hanging="360"/>
      </w:pPr>
      <w:rPr>
        <w:rFonts w:ascii="Courier New" w:hAnsi="Courier New" w:hint="default"/>
      </w:rPr>
    </w:lvl>
    <w:lvl w:ilvl="5" w:tplc="2C5E87E4">
      <w:start w:val="1"/>
      <w:numFmt w:val="bullet"/>
      <w:lvlText w:val=""/>
      <w:lvlJc w:val="left"/>
      <w:pPr>
        <w:ind w:left="4320" w:hanging="360"/>
      </w:pPr>
      <w:rPr>
        <w:rFonts w:ascii="Wingdings" w:hAnsi="Wingdings" w:hint="default"/>
      </w:rPr>
    </w:lvl>
    <w:lvl w:ilvl="6" w:tplc="A7EEEFB0">
      <w:start w:val="1"/>
      <w:numFmt w:val="bullet"/>
      <w:lvlText w:val=""/>
      <w:lvlJc w:val="left"/>
      <w:pPr>
        <w:ind w:left="5040" w:hanging="360"/>
      </w:pPr>
      <w:rPr>
        <w:rFonts w:ascii="Symbol" w:hAnsi="Symbol" w:hint="default"/>
      </w:rPr>
    </w:lvl>
    <w:lvl w:ilvl="7" w:tplc="CFF0E218">
      <w:start w:val="1"/>
      <w:numFmt w:val="bullet"/>
      <w:lvlText w:val="o"/>
      <w:lvlJc w:val="left"/>
      <w:pPr>
        <w:ind w:left="5760" w:hanging="360"/>
      </w:pPr>
      <w:rPr>
        <w:rFonts w:ascii="Courier New" w:hAnsi="Courier New" w:hint="default"/>
      </w:rPr>
    </w:lvl>
    <w:lvl w:ilvl="8" w:tplc="344497C8">
      <w:start w:val="1"/>
      <w:numFmt w:val="bullet"/>
      <w:lvlText w:val=""/>
      <w:lvlJc w:val="left"/>
      <w:pPr>
        <w:ind w:left="6480" w:hanging="360"/>
      </w:pPr>
      <w:rPr>
        <w:rFonts w:ascii="Wingdings" w:hAnsi="Wingdings" w:hint="default"/>
      </w:rPr>
    </w:lvl>
  </w:abstractNum>
  <w:abstractNum w:abstractNumId="3" w15:restartNumberingAfterBreak="0">
    <w:nsid w:val="65F5C992"/>
    <w:multiLevelType w:val="hybridMultilevel"/>
    <w:tmpl w:val="76368A20"/>
    <w:lvl w:ilvl="0" w:tplc="987EC772">
      <w:start w:val="1"/>
      <w:numFmt w:val="bullet"/>
      <w:lvlText w:val=""/>
      <w:lvlJc w:val="left"/>
      <w:pPr>
        <w:ind w:left="720" w:hanging="360"/>
      </w:pPr>
      <w:rPr>
        <w:rFonts w:ascii="Symbol" w:hAnsi="Symbol" w:hint="default"/>
      </w:rPr>
    </w:lvl>
    <w:lvl w:ilvl="1" w:tplc="FBEE6D64">
      <w:start w:val="1"/>
      <w:numFmt w:val="bullet"/>
      <w:lvlText w:val="o"/>
      <w:lvlJc w:val="left"/>
      <w:pPr>
        <w:ind w:left="1440" w:hanging="360"/>
      </w:pPr>
      <w:rPr>
        <w:rFonts w:ascii="Courier New" w:hAnsi="Courier New" w:hint="default"/>
      </w:rPr>
    </w:lvl>
    <w:lvl w:ilvl="2" w:tplc="29F02808">
      <w:start w:val="1"/>
      <w:numFmt w:val="bullet"/>
      <w:lvlText w:val=""/>
      <w:lvlJc w:val="left"/>
      <w:pPr>
        <w:ind w:left="2160" w:hanging="360"/>
      </w:pPr>
      <w:rPr>
        <w:rFonts w:ascii="Wingdings" w:hAnsi="Wingdings" w:hint="default"/>
      </w:rPr>
    </w:lvl>
    <w:lvl w:ilvl="3" w:tplc="04D4B016">
      <w:start w:val="1"/>
      <w:numFmt w:val="bullet"/>
      <w:lvlText w:val=""/>
      <w:lvlJc w:val="left"/>
      <w:pPr>
        <w:ind w:left="2880" w:hanging="360"/>
      </w:pPr>
      <w:rPr>
        <w:rFonts w:ascii="Symbol" w:hAnsi="Symbol" w:hint="default"/>
      </w:rPr>
    </w:lvl>
    <w:lvl w:ilvl="4" w:tplc="E916951A">
      <w:start w:val="1"/>
      <w:numFmt w:val="bullet"/>
      <w:lvlText w:val="o"/>
      <w:lvlJc w:val="left"/>
      <w:pPr>
        <w:ind w:left="3600" w:hanging="360"/>
      </w:pPr>
      <w:rPr>
        <w:rFonts w:ascii="Courier New" w:hAnsi="Courier New" w:hint="default"/>
      </w:rPr>
    </w:lvl>
    <w:lvl w:ilvl="5" w:tplc="6A10723C">
      <w:start w:val="1"/>
      <w:numFmt w:val="bullet"/>
      <w:lvlText w:val=""/>
      <w:lvlJc w:val="left"/>
      <w:pPr>
        <w:ind w:left="4320" w:hanging="360"/>
      </w:pPr>
      <w:rPr>
        <w:rFonts w:ascii="Wingdings" w:hAnsi="Wingdings" w:hint="default"/>
      </w:rPr>
    </w:lvl>
    <w:lvl w:ilvl="6" w:tplc="DC982F22">
      <w:start w:val="1"/>
      <w:numFmt w:val="bullet"/>
      <w:lvlText w:val=""/>
      <w:lvlJc w:val="left"/>
      <w:pPr>
        <w:ind w:left="5040" w:hanging="360"/>
      </w:pPr>
      <w:rPr>
        <w:rFonts w:ascii="Symbol" w:hAnsi="Symbol" w:hint="default"/>
      </w:rPr>
    </w:lvl>
    <w:lvl w:ilvl="7" w:tplc="826E5F52">
      <w:start w:val="1"/>
      <w:numFmt w:val="bullet"/>
      <w:lvlText w:val="o"/>
      <w:lvlJc w:val="left"/>
      <w:pPr>
        <w:ind w:left="5760" w:hanging="360"/>
      </w:pPr>
      <w:rPr>
        <w:rFonts w:ascii="Courier New" w:hAnsi="Courier New" w:hint="default"/>
      </w:rPr>
    </w:lvl>
    <w:lvl w:ilvl="8" w:tplc="3072E9DC">
      <w:start w:val="1"/>
      <w:numFmt w:val="bullet"/>
      <w:lvlText w:val=""/>
      <w:lvlJc w:val="left"/>
      <w:pPr>
        <w:ind w:left="6480" w:hanging="360"/>
      </w:pPr>
      <w:rPr>
        <w:rFonts w:ascii="Wingdings" w:hAnsi="Wingdings" w:hint="default"/>
      </w:rPr>
    </w:lvl>
  </w:abstractNum>
  <w:num w:numId="1" w16cid:durableId="1459179588">
    <w:abstractNumId w:val="3"/>
  </w:num>
  <w:num w:numId="2" w16cid:durableId="1511873341">
    <w:abstractNumId w:val="1"/>
  </w:num>
  <w:num w:numId="3" w16cid:durableId="1230649946">
    <w:abstractNumId w:val="2"/>
  </w:num>
  <w:num w:numId="4" w16cid:durableId="61093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51BD75"/>
    <w:rsid w:val="00032F36"/>
    <w:rsid w:val="0004122C"/>
    <w:rsid w:val="000B6D34"/>
    <w:rsid w:val="001B6CD6"/>
    <w:rsid w:val="001E6FB2"/>
    <w:rsid w:val="00255C72"/>
    <w:rsid w:val="00367DEA"/>
    <w:rsid w:val="00373411"/>
    <w:rsid w:val="00386757"/>
    <w:rsid w:val="005A7C66"/>
    <w:rsid w:val="005F26B3"/>
    <w:rsid w:val="00702842"/>
    <w:rsid w:val="00805DBC"/>
    <w:rsid w:val="008D518D"/>
    <w:rsid w:val="00941D54"/>
    <w:rsid w:val="00972C3A"/>
    <w:rsid w:val="009E3F83"/>
    <w:rsid w:val="00B6470C"/>
    <w:rsid w:val="00B6786A"/>
    <w:rsid w:val="00C25075"/>
    <w:rsid w:val="00E42421"/>
    <w:rsid w:val="00E72495"/>
    <w:rsid w:val="00FB7F6B"/>
    <w:rsid w:val="00FE0092"/>
    <w:rsid w:val="0519D16A"/>
    <w:rsid w:val="06AD7D12"/>
    <w:rsid w:val="091989C6"/>
    <w:rsid w:val="0A65A7C7"/>
    <w:rsid w:val="0B077E46"/>
    <w:rsid w:val="0E4AC661"/>
    <w:rsid w:val="13ABB66A"/>
    <w:rsid w:val="1747E885"/>
    <w:rsid w:val="18778C48"/>
    <w:rsid w:val="1AF97D1C"/>
    <w:rsid w:val="1B89E7D9"/>
    <w:rsid w:val="1C996D54"/>
    <w:rsid w:val="26449196"/>
    <w:rsid w:val="28B7C852"/>
    <w:rsid w:val="294FAFDD"/>
    <w:rsid w:val="29D8C01F"/>
    <w:rsid w:val="2C55643C"/>
    <w:rsid w:val="2CE9336A"/>
    <w:rsid w:val="2E41DB52"/>
    <w:rsid w:val="306A8C7C"/>
    <w:rsid w:val="30A85797"/>
    <w:rsid w:val="31950B3D"/>
    <w:rsid w:val="31D67995"/>
    <w:rsid w:val="33E74F57"/>
    <w:rsid w:val="342636DE"/>
    <w:rsid w:val="35BCACB1"/>
    <w:rsid w:val="36A2C1F8"/>
    <w:rsid w:val="37C763E9"/>
    <w:rsid w:val="37E130C9"/>
    <w:rsid w:val="3D2686B6"/>
    <w:rsid w:val="3E0AF1FD"/>
    <w:rsid w:val="3F1AC66B"/>
    <w:rsid w:val="3F98B4AA"/>
    <w:rsid w:val="3FBCE3B5"/>
    <w:rsid w:val="40C9D642"/>
    <w:rsid w:val="4451BD75"/>
    <w:rsid w:val="47396F9A"/>
    <w:rsid w:val="47AA9D29"/>
    <w:rsid w:val="506A02A2"/>
    <w:rsid w:val="52B723E2"/>
    <w:rsid w:val="55C7CF62"/>
    <w:rsid w:val="573F834F"/>
    <w:rsid w:val="57D2BE20"/>
    <w:rsid w:val="5B518D46"/>
    <w:rsid w:val="60AC6320"/>
    <w:rsid w:val="6161F66C"/>
    <w:rsid w:val="6680F9BC"/>
    <w:rsid w:val="670EEDBF"/>
    <w:rsid w:val="68E05C23"/>
    <w:rsid w:val="6B61CFF9"/>
    <w:rsid w:val="7194D3EF"/>
    <w:rsid w:val="730B06D2"/>
    <w:rsid w:val="7C6F5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BD75"/>
  <w15:chartTrackingRefBased/>
  <w15:docId w15:val="{E3644E47-2B19-4EA8-A257-7A787DEC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3D268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3D268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30A85797"/>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3D2686B6"/>
    <w:pPr>
      <w:ind w:left="720"/>
      <w:contextualSpacing/>
    </w:pPr>
  </w:style>
  <w:style w:type="character" w:styleId="Hipervnculo">
    <w:name w:val="Hyperlink"/>
    <w:basedOn w:val="Fuentedeprrafopredeter"/>
    <w:uiPriority w:val="99"/>
    <w:unhideWhenUsed/>
    <w:rsid w:val="30A8579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ogle.com/url?sa=i&amp;url=https%3A%2F%2Fwww.flickr.com%2Fphotos%2Fstgonostalgico%2F5002830055&amp;psig=AOvVaw35f2cUQBzyW9F1iv5lDK8L&amp;ust=1763740759667000&amp;source=images&amp;cd=vfe&amp;opi=89978449&amp;ved=0CBgQjhxqFwoTCOjNgsCMgZEDFQAAAAAdAAAAABBF" TargetMode="Externa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B02E74-ABB6-439A-A458-CE55E27CC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3CBF9-4F41-47F1-BEDF-1F68CD08D7F4}">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A1DC803C-9AFE-4E8B-BD4B-C3D23899CE15}">
  <ds:schemaRefs>
    <ds:schemaRef ds:uri="http://schemas.microsoft.com/sharepoint/v3/contenttype/forms"/>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4275</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4</cp:revision>
  <dcterms:created xsi:type="dcterms:W3CDTF">2025-09-29T14:41:00Z</dcterms:created>
  <dcterms:modified xsi:type="dcterms:W3CDTF">2026-09-15T11:55:00Z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