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AF2A0" w14:textId="0CC8ED3E" w:rsidR="001E0FDC" w:rsidRPr="005B20C0" w:rsidRDefault="1D00A851" w:rsidP="28894030">
      <w:pPr>
        <w:pStyle w:val="Ttulo2"/>
        <w:shd w:val="clear" w:color="auto" w:fill="FFFFFF" w:themeFill="background1"/>
        <w:spacing w:before="0" w:after="150" w:line="276" w:lineRule="auto"/>
        <w:jc w:val="both"/>
        <w:rPr>
          <w:rFonts w:ascii="Arial" w:eastAsia="Helvetica" w:hAnsi="Arial" w:cs="Arial"/>
          <w:b/>
          <w:bCs/>
          <w:caps/>
          <w:color w:val="0A4149"/>
          <w:sz w:val="36"/>
          <w:szCs w:val="36"/>
        </w:rPr>
      </w:pPr>
      <w:r w:rsidRPr="005B20C0">
        <w:rPr>
          <w:rFonts w:ascii="Arial" w:eastAsia="Helvetica" w:hAnsi="Arial" w:cs="Arial"/>
          <w:b/>
          <w:bCs/>
          <w:caps/>
          <w:color w:val="0A4149"/>
          <w:sz w:val="36"/>
          <w:szCs w:val="36"/>
        </w:rPr>
        <w:t>The pros and cons of biodegradable plastics: Educating consumers on their limitations and benefits</w:t>
      </w:r>
    </w:p>
    <w:p w14:paraId="3CE3935C" w14:textId="511F1B9D" w:rsidR="001E0FDC" w:rsidRDefault="1D00A851" w:rsidP="28894030">
      <w:pPr>
        <w:spacing w:line="276" w:lineRule="auto"/>
        <w:jc w:val="both"/>
        <w:rPr>
          <w:rFonts w:ascii="Arial" w:eastAsia="Encode Sans" w:hAnsi="Arial" w:cs="Arial"/>
          <w:color w:val="333333"/>
          <w:lang w:val="en-US"/>
        </w:rPr>
      </w:pPr>
      <w:r w:rsidRPr="005B20C0">
        <w:rPr>
          <w:rFonts w:ascii="Arial" w:eastAsia="Encode Sans" w:hAnsi="Arial" w:cs="Arial"/>
          <w:color w:val="333333"/>
          <w:lang w:val="en-US"/>
        </w:rPr>
        <w:t xml:space="preserve">Biodegradable plastics have been marketed as the “miracle solution” to plastic pollution. Packaging that dissolves, cups that claim to vanish into the soil, bags labeled as “eco”—what could be better? On the surface, it feels like we’ve finally found a way to reconcile convenience with sustainability. But scratch </w:t>
      </w:r>
      <w:proofErr w:type="gramStart"/>
      <w:r w:rsidRPr="005B20C0">
        <w:rPr>
          <w:rFonts w:ascii="Arial" w:eastAsia="Encode Sans" w:hAnsi="Arial" w:cs="Arial"/>
          <w:color w:val="333333"/>
          <w:lang w:val="en-US"/>
        </w:rPr>
        <w:t>a little</w:t>
      </w:r>
      <w:proofErr w:type="gramEnd"/>
      <w:r w:rsidRPr="005B20C0">
        <w:rPr>
          <w:rFonts w:ascii="Arial" w:eastAsia="Encode Sans" w:hAnsi="Arial" w:cs="Arial"/>
          <w:color w:val="333333"/>
          <w:lang w:val="en-US"/>
        </w:rPr>
        <w:t xml:space="preserve"> deeper, and the story is more complicated—and far less flattering for companies pushing </w:t>
      </w:r>
      <w:proofErr w:type="gramStart"/>
      <w:r w:rsidRPr="005B20C0">
        <w:rPr>
          <w:rFonts w:ascii="Arial" w:eastAsia="Encode Sans" w:hAnsi="Arial" w:cs="Arial"/>
          <w:color w:val="333333"/>
          <w:lang w:val="en-US"/>
        </w:rPr>
        <w:t>it,  because</w:t>
      </w:r>
      <w:proofErr w:type="gramEnd"/>
      <w:r w:rsidRPr="005B20C0">
        <w:rPr>
          <w:rFonts w:ascii="Arial" w:eastAsia="Encode Sans" w:hAnsi="Arial" w:cs="Arial"/>
          <w:color w:val="333333"/>
          <w:lang w:val="en-US"/>
        </w:rPr>
        <w:t xml:space="preserve"> there is no standard definition.</w:t>
      </w:r>
    </w:p>
    <w:p w14:paraId="06BC9C68" w14:textId="77777777" w:rsidR="005B20C0" w:rsidRPr="005B20C0" w:rsidRDefault="005B20C0" w:rsidP="28894030">
      <w:pPr>
        <w:spacing w:line="276" w:lineRule="auto"/>
        <w:jc w:val="both"/>
        <w:rPr>
          <w:rFonts w:ascii="Arial" w:eastAsia="Encode Sans" w:hAnsi="Arial" w:cs="Arial"/>
          <w:color w:val="333333"/>
        </w:rPr>
      </w:pPr>
    </w:p>
    <w:p w14:paraId="4B75B8DD" w14:textId="0224B222" w:rsidR="001E0FDC" w:rsidRPr="005B20C0" w:rsidRDefault="1D00A851" w:rsidP="28894030">
      <w:pPr>
        <w:pStyle w:val="Ttulo3"/>
        <w:shd w:val="clear" w:color="auto" w:fill="FFFFFF" w:themeFill="background1"/>
        <w:spacing w:before="0" w:after="150" w:line="276" w:lineRule="auto"/>
        <w:jc w:val="both"/>
        <w:rPr>
          <w:rFonts w:ascii="Arial" w:hAnsi="Arial" w:cs="Arial"/>
        </w:rPr>
      </w:pPr>
      <w:r w:rsidRPr="005B20C0">
        <w:rPr>
          <w:rFonts w:ascii="Arial" w:eastAsia="Helvetica" w:hAnsi="Arial" w:cs="Arial"/>
          <w:b/>
          <w:bCs/>
          <w:caps/>
          <w:color w:val="0A4149"/>
        </w:rPr>
        <w:t xml:space="preserve">The Mirage of the “Green Label” </w:t>
      </w:r>
    </w:p>
    <w:p w14:paraId="2EFBC40E" w14:textId="030A0111" w:rsidR="001E0FDC" w:rsidRPr="005B20C0" w:rsidRDefault="1D00A851" w:rsidP="28894030">
      <w:pPr>
        <w:shd w:val="clear" w:color="auto" w:fill="FFFFFF" w:themeFill="background1"/>
        <w:spacing w:after="150" w:line="276" w:lineRule="auto"/>
        <w:jc w:val="both"/>
        <w:rPr>
          <w:rFonts w:ascii="Arial" w:hAnsi="Arial" w:cs="Arial"/>
        </w:rPr>
      </w:pPr>
      <w:r w:rsidRPr="005B20C0">
        <w:rPr>
          <w:rFonts w:ascii="Arial" w:eastAsia="Encode Sans" w:hAnsi="Arial" w:cs="Arial"/>
          <w:color w:val="333333"/>
        </w:rPr>
        <w:t xml:space="preserve">Let’s start with the truth: most biodegradable plastics don’t simply disappear. </w:t>
      </w:r>
      <w:r w:rsidRPr="005B20C0">
        <w:rPr>
          <w:rFonts w:ascii="Arial" w:eastAsia="Encode Sans" w:hAnsi="Arial" w:cs="Arial"/>
          <w:b/>
          <w:bCs/>
          <w:color w:val="333333"/>
        </w:rPr>
        <w:t>They require specific industrial conditions to break down—high heat, controlled humidity, oxygen levels— that rarely exist in the real world</w:t>
      </w:r>
      <w:r w:rsidRPr="005B20C0">
        <w:rPr>
          <w:rFonts w:ascii="Arial" w:eastAsia="Encode Sans" w:hAnsi="Arial" w:cs="Arial"/>
          <w:color w:val="333333"/>
        </w:rPr>
        <w:t>. Toss them in your backyard compost, a landfill, or the ocean, and they will linger for years. Worse, many fragment into microplastics, polluting the environment under the guise of being “</w:t>
      </w:r>
      <w:proofErr w:type="gramStart"/>
      <w:r w:rsidRPr="005B20C0">
        <w:rPr>
          <w:rFonts w:ascii="Arial" w:eastAsia="Encode Sans" w:hAnsi="Arial" w:cs="Arial"/>
          <w:color w:val="333333"/>
        </w:rPr>
        <w:t>eco-friendly</w:t>
      </w:r>
      <w:proofErr w:type="gramEnd"/>
      <w:r w:rsidRPr="005B20C0">
        <w:rPr>
          <w:rFonts w:ascii="Arial" w:eastAsia="Encode Sans" w:hAnsi="Arial" w:cs="Arial"/>
          <w:color w:val="333333"/>
        </w:rPr>
        <w:t xml:space="preserve">.” Whatever that means. </w:t>
      </w:r>
    </w:p>
    <w:p w14:paraId="1AA2767B" w14:textId="3136BF8A" w:rsidR="001E0FDC" w:rsidRPr="005B20C0" w:rsidRDefault="1D00A851" w:rsidP="28894030">
      <w:pPr>
        <w:shd w:val="clear" w:color="auto" w:fill="FFFFFF" w:themeFill="background1"/>
        <w:spacing w:after="150" w:line="276" w:lineRule="auto"/>
        <w:jc w:val="both"/>
        <w:rPr>
          <w:rFonts w:ascii="Arial" w:hAnsi="Arial" w:cs="Arial"/>
        </w:rPr>
      </w:pPr>
      <w:r w:rsidRPr="005B20C0">
        <w:rPr>
          <w:rFonts w:ascii="Arial" w:eastAsia="Encode Sans" w:hAnsi="Arial" w:cs="Arial"/>
          <w:color w:val="333333"/>
        </w:rPr>
        <w:t xml:space="preserve">It is a well-known situation, but many hide behind marketing strategies, whilst profiting from consumers’ guilt and desire to do the right thing. Instead of redesigning packaging systems or scaling reusables, they slap “biodegradable” on a </w:t>
      </w:r>
      <w:proofErr w:type="gramStart"/>
      <w:r w:rsidRPr="005B20C0">
        <w:rPr>
          <w:rFonts w:ascii="Arial" w:eastAsia="Encode Sans" w:hAnsi="Arial" w:cs="Arial"/>
          <w:color w:val="333333"/>
        </w:rPr>
        <w:t>single</w:t>
      </w:r>
      <w:proofErr w:type="gramEnd"/>
      <w:r w:rsidRPr="005B20C0">
        <w:rPr>
          <w:rFonts w:ascii="Arial" w:eastAsia="Encode Sans" w:hAnsi="Arial" w:cs="Arial"/>
          <w:color w:val="333333"/>
        </w:rPr>
        <w:t xml:space="preserve">-use item and move on. It’s a textbook example of greenwashing. </w:t>
      </w:r>
    </w:p>
    <w:p w14:paraId="7BB69336" w14:textId="7F617288" w:rsidR="001E0FDC" w:rsidRPr="005B20C0" w:rsidRDefault="1D00A851" w:rsidP="28894030">
      <w:pPr>
        <w:shd w:val="clear" w:color="auto" w:fill="FFFFFF" w:themeFill="background1"/>
        <w:spacing w:after="150" w:line="276" w:lineRule="auto"/>
        <w:jc w:val="both"/>
        <w:rPr>
          <w:rFonts w:ascii="Arial" w:hAnsi="Arial" w:cs="Arial"/>
        </w:rPr>
      </w:pPr>
      <w:r w:rsidRPr="005B20C0">
        <w:rPr>
          <w:rFonts w:ascii="Arial" w:eastAsia="Encode Sans" w:hAnsi="Arial" w:cs="Arial"/>
          <w:color w:val="333333"/>
        </w:rPr>
        <w:t xml:space="preserve">To be fair, not everything is bad. Biodegradable plastics do have benefits—if managed correctly. </w:t>
      </w:r>
      <w:r w:rsidRPr="005B20C0">
        <w:rPr>
          <w:rFonts w:ascii="Arial" w:eastAsia="Encode Sans" w:hAnsi="Arial" w:cs="Arial"/>
          <w:b/>
          <w:bCs/>
          <w:color w:val="333333"/>
        </w:rPr>
        <w:t>In regions with proper industrial composting facilities, they can reduce waste volumes and provide an alternative to petroleum-based plastics.</w:t>
      </w:r>
      <w:r w:rsidRPr="005B20C0">
        <w:rPr>
          <w:rFonts w:ascii="Arial" w:eastAsia="Encode Sans" w:hAnsi="Arial" w:cs="Arial"/>
          <w:color w:val="333333"/>
        </w:rPr>
        <w:t xml:space="preserve"> They can be useful in specific applications where contamination makes recycling difficult (like food-soiled packaging). And yes, they can reduce dependence on fossil fuels if produced from renewable resources. </w:t>
      </w:r>
    </w:p>
    <w:p w14:paraId="3CBD2A02" w14:textId="1B05F84F" w:rsidR="001E0FDC" w:rsidRPr="005B20C0" w:rsidRDefault="1D00A851" w:rsidP="28894030">
      <w:pPr>
        <w:shd w:val="clear" w:color="auto" w:fill="FFFFFF" w:themeFill="background1"/>
        <w:spacing w:after="150" w:line="276" w:lineRule="auto"/>
        <w:jc w:val="both"/>
        <w:rPr>
          <w:rFonts w:ascii="Arial" w:hAnsi="Arial" w:cs="Arial"/>
        </w:rPr>
      </w:pPr>
      <w:r w:rsidRPr="005B20C0">
        <w:rPr>
          <w:rFonts w:ascii="Arial" w:eastAsia="Encode Sans" w:hAnsi="Arial" w:cs="Arial"/>
          <w:b/>
          <w:bCs/>
          <w:color w:val="333333"/>
        </w:rPr>
        <w:t>But those benefits depend on infrastructure, policy, and consumer education.</w:t>
      </w:r>
      <w:r w:rsidRPr="005B20C0">
        <w:rPr>
          <w:rFonts w:ascii="Arial" w:eastAsia="Encode Sans" w:hAnsi="Arial" w:cs="Arial"/>
          <w:color w:val="333333"/>
        </w:rPr>
        <w:t xml:space="preserve"> Without clear systems to collect and process them, biodegradable plastics can be just as wasteful as the “old” plastics they claim to replace. </w:t>
      </w:r>
    </w:p>
    <w:p w14:paraId="7386AD48" w14:textId="5A3813C3" w:rsidR="001E0FDC" w:rsidRPr="005B20C0" w:rsidRDefault="1D00A851" w:rsidP="28894030">
      <w:pPr>
        <w:shd w:val="clear" w:color="auto" w:fill="FFFFFF" w:themeFill="background1"/>
        <w:spacing w:after="150" w:line="276" w:lineRule="auto"/>
        <w:jc w:val="both"/>
        <w:rPr>
          <w:rFonts w:ascii="Arial" w:hAnsi="Arial" w:cs="Arial"/>
        </w:rPr>
      </w:pPr>
      <w:r w:rsidRPr="005B20C0">
        <w:rPr>
          <w:rFonts w:ascii="Arial" w:eastAsia="Encode Sans" w:hAnsi="Arial" w:cs="Arial"/>
          <w:color w:val="333333"/>
        </w:rPr>
        <w:t xml:space="preserve">Here’s the uncomfortable part: the problem isn’t the material itself; it’s the economic system wrapped around it. Companies keep producing more </w:t>
      </w:r>
      <w:proofErr w:type="gramStart"/>
      <w:r w:rsidRPr="005B20C0">
        <w:rPr>
          <w:rFonts w:ascii="Arial" w:eastAsia="Encode Sans" w:hAnsi="Arial" w:cs="Arial"/>
          <w:color w:val="333333"/>
        </w:rPr>
        <w:t>single</w:t>
      </w:r>
      <w:proofErr w:type="gramEnd"/>
      <w:r w:rsidRPr="005B20C0">
        <w:rPr>
          <w:rFonts w:ascii="Arial" w:eastAsia="Encode Sans" w:hAnsi="Arial" w:cs="Arial"/>
          <w:color w:val="333333"/>
        </w:rPr>
        <w:t xml:space="preserve">-use items, just swapping “petroleum” for “bioplastic.” Governments, meanwhile, play referees with half-baked rules, torn between protecting corporate privileges, revolving doors, and serving the public interest. </w:t>
      </w:r>
    </w:p>
    <w:p w14:paraId="41FBFF6E" w14:textId="70FBD8DA" w:rsidR="001E0FDC" w:rsidRPr="005B20C0" w:rsidRDefault="1D00A851" w:rsidP="28894030">
      <w:pPr>
        <w:shd w:val="clear" w:color="auto" w:fill="FFFFFF" w:themeFill="background1"/>
        <w:spacing w:after="150" w:line="276" w:lineRule="auto"/>
        <w:jc w:val="both"/>
        <w:rPr>
          <w:rFonts w:ascii="Arial" w:hAnsi="Arial" w:cs="Arial"/>
        </w:rPr>
      </w:pPr>
      <w:r w:rsidRPr="005B20C0">
        <w:rPr>
          <w:rFonts w:ascii="Arial" w:eastAsia="Encode Sans" w:hAnsi="Arial" w:cs="Arial"/>
          <w:color w:val="333333"/>
        </w:rPr>
        <w:t xml:space="preserve"> </w:t>
      </w:r>
    </w:p>
    <w:p w14:paraId="429583EA" w14:textId="43571852" w:rsidR="001E0FDC" w:rsidRPr="005B20C0" w:rsidRDefault="1D00A851" w:rsidP="28894030">
      <w:pPr>
        <w:shd w:val="clear" w:color="auto" w:fill="FFFFFF" w:themeFill="background1"/>
        <w:spacing w:after="150" w:line="276" w:lineRule="auto"/>
        <w:jc w:val="both"/>
        <w:rPr>
          <w:rFonts w:ascii="Arial" w:hAnsi="Arial" w:cs="Arial"/>
        </w:rPr>
      </w:pPr>
      <w:r w:rsidRPr="005B20C0">
        <w:rPr>
          <w:rFonts w:ascii="Arial" w:hAnsi="Arial" w:cs="Arial"/>
          <w:noProof/>
        </w:rPr>
        <w:lastRenderedPageBreak/>
        <w:drawing>
          <wp:inline distT="0" distB="0" distL="0" distR="0" wp14:anchorId="7F773B6F" wp14:editId="26BB8BFC">
            <wp:extent cx="3571875" cy="2381250"/>
            <wp:effectExtent l="0" t="0" r="0" b="0"/>
            <wp:docPr id="555817096" name="drawing" title="File:Biodegradable Coffee Cup on Compost.jpg - Wikimedia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817096" name="Picture 555817096"/>
                    <pic:cNvPicPr/>
                  </pic:nvPicPr>
                  <pic:blipFill>
                    <a:blip r:embed="rId8">
                      <a:extLst>
                        <a:ext uri="{28A0092B-C50C-407E-A947-70E740481C1C}">
                          <a14:useLocalDpi xmlns:a14="http://schemas.microsoft.com/office/drawing/2010/main"/>
                        </a:ext>
                      </a:extLst>
                    </a:blip>
                    <a:stretch>
                      <a:fillRect/>
                    </a:stretch>
                  </pic:blipFill>
                  <pic:spPr>
                    <a:xfrm>
                      <a:off x="0" y="0"/>
                      <a:ext cx="3571875" cy="2381250"/>
                    </a:xfrm>
                    <a:prstGeom prst="rect">
                      <a:avLst/>
                    </a:prstGeom>
                  </pic:spPr>
                </pic:pic>
              </a:graphicData>
            </a:graphic>
          </wp:inline>
        </w:drawing>
      </w:r>
    </w:p>
    <w:p w14:paraId="7951178C" w14:textId="691DB5B0" w:rsidR="001E0FDC" w:rsidRPr="005B20C0" w:rsidRDefault="1D00A851" w:rsidP="28894030">
      <w:pPr>
        <w:shd w:val="clear" w:color="auto" w:fill="FFFFFF" w:themeFill="background1"/>
        <w:spacing w:after="150" w:line="276" w:lineRule="auto"/>
        <w:jc w:val="both"/>
        <w:rPr>
          <w:rFonts w:ascii="Arial" w:hAnsi="Arial" w:cs="Arial"/>
          <w:sz w:val="20"/>
          <w:szCs w:val="20"/>
        </w:rPr>
      </w:pPr>
      <w:r w:rsidRPr="005B20C0">
        <w:rPr>
          <w:rFonts w:ascii="Arial" w:eastAsia="Encode Sans" w:hAnsi="Arial" w:cs="Arial"/>
          <w:i/>
          <w:iCs/>
          <w:color w:val="333333"/>
          <w:sz w:val="20"/>
          <w:szCs w:val="20"/>
        </w:rPr>
        <w:t>Photo from Wikimedia Commons, licensed under CC BY 2.0</w:t>
      </w:r>
    </w:p>
    <w:p w14:paraId="23F14A14" w14:textId="5377B18E" w:rsidR="001E0FDC" w:rsidRPr="005B20C0" w:rsidRDefault="1D00A851" w:rsidP="28894030">
      <w:pPr>
        <w:shd w:val="clear" w:color="auto" w:fill="FFFFFF" w:themeFill="background1"/>
        <w:spacing w:after="150" w:line="276" w:lineRule="auto"/>
        <w:jc w:val="both"/>
        <w:rPr>
          <w:rFonts w:ascii="Arial" w:hAnsi="Arial" w:cs="Arial"/>
        </w:rPr>
      </w:pPr>
      <w:r w:rsidRPr="005B20C0">
        <w:rPr>
          <w:rFonts w:ascii="Arial" w:eastAsia="Encode Sans" w:hAnsi="Arial" w:cs="Arial"/>
          <w:color w:val="333333"/>
        </w:rPr>
        <w:t xml:space="preserve"> </w:t>
      </w:r>
    </w:p>
    <w:p w14:paraId="04C969F0" w14:textId="335BA8AD" w:rsidR="001E0FDC" w:rsidRPr="005B20C0" w:rsidRDefault="1D00A851" w:rsidP="28894030">
      <w:pPr>
        <w:pStyle w:val="Ttulo3"/>
        <w:shd w:val="clear" w:color="auto" w:fill="FFFFFF" w:themeFill="background1"/>
        <w:spacing w:before="0" w:after="150" w:line="276" w:lineRule="auto"/>
        <w:jc w:val="both"/>
        <w:rPr>
          <w:rFonts w:ascii="Arial" w:hAnsi="Arial" w:cs="Arial"/>
        </w:rPr>
      </w:pPr>
      <w:r w:rsidRPr="005B20C0">
        <w:rPr>
          <w:rFonts w:ascii="Arial" w:eastAsia="Helvetica" w:hAnsi="Arial" w:cs="Arial"/>
          <w:b/>
          <w:bCs/>
          <w:caps/>
          <w:color w:val="0A4149"/>
        </w:rPr>
        <w:t xml:space="preserve">The Real Problem: Business Models and Policy Gaps </w:t>
      </w:r>
    </w:p>
    <w:p w14:paraId="3096F071" w14:textId="011BED67" w:rsidR="001E0FDC" w:rsidRPr="005B20C0" w:rsidRDefault="1D00A851" w:rsidP="28894030">
      <w:pPr>
        <w:shd w:val="clear" w:color="auto" w:fill="FFFFFF" w:themeFill="background1"/>
        <w:spacing w:after="150" w:line="276" w:lineRule="auto"/>
        <w:jc w:val="both"/>
        <w:rPr>
          <w:rFonts w:ascii="Arial" w:hAnsi="Arial" w:cs="Arial"/>
        </w:rPr>
      </w:pPr>
      <w:r w:rsidRPr="005B20C0">
        <w:rPr>
          <w:rFonts w:ascii="Arial" w:eastAsia="Encode Sans" w:hAnsi="Arial" w:cs="Arial"/>
          <w:color w:val="333333"/>
        </w:rPr>
        <w:t xml:space="preserve">Consumers must see through the “biodegradable” mirage. It’s not enough to trust labels; we need to demand real systemic change: </w:t>
      </w:r>
    </w:p>
    <w:p w14:paraId="28E44169" w14:textId="3E6AF689" w:rsidR="001E0FDC" w:rsidRPr="005B20C0" w:rsidRDefault="1D00A851" w:rsidP="28894030">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rPr>
      </w:pPr>
      <w:r w:rsidRPr="005B20C0">
        <w:rPr>
          <w:rFonts w:ascii="Arial" w:eastAsia="Encode Sans" w:hAnsi="Arial" w:cs="Arial"/>
          <w:color w:val="333333"/>
        </w:rPr>
        <w:t xml:space="preserve">Push for policies that favor </w:t>
      </w:r>
      <w:r w:rsidRPr="005B20C0">
        <w:rPr>
          <w:rFonts w:ascii="Arial" w:eastAsia="Encode Sans" w:hAnsi="Arial" w:cs="Arial"/>
          <w:b/>
          <w:bCs/>
          <w:color w:val="333333"/>
        </w:rPr>
        <w:t>reuse and redesign</w:t>
      </w:r>
      <w:r w:rsidRPr="005B20C0">
        <w:rPr>
          <w:rFonts w:ascii="Arial" w:eastAsia="Encode Sans" w:hAnsi="Arial" w:cs="Arial"/>
          <w:color w:val="333333"/>
        </w:rPr>
        <w:t xml:space="preserve">, not just material substitution. </w:t>
      </w:r>
    </w:p>
    <w:p w14:paraId="43428306" w14:textId="78AEEDFE" w:rsidR="001E0FDC" w:rsidRPr="005B20C0" w:rsidRDefault="1D00A851" w:rsidP="28894030">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rPr>
      </w:pPr>
      <w:r w:rsidRPr="005B20C0">
        <w:rPr>
          <w:rFonts w:ascii="Arial" w:eastAsia="Encode Sans" w:hAnsi="Arial" w:cs="Arial"/>
          <w:color w:val="333333"/>
        </w:rPr>
        <w:t xml:space="preserve">Support community-level waste solutions and local composting initiatives. </w:t>
      </w:r>
    </w:p>
    <w:p w14:paraId="1509EA3F" w14:textId="1E417611" w:rsidR="001E0FDC" w:rsidRPr="005B20C0" w:rsidRDefault="1D00A851" w:rsidP="28894030">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rPr>
      </w:pPr>
      <w:r w:rsidRPr="005B20C0">
        <w:rPr>
          <w:rFonts w:ascii="Arial" w:eastAsia="Encode Sans" w:hAnsi="Arial" w:cs="Arial"/>
          <w:b/>
          <w:bCs/>
          <w:color w:val="333333"/>
        </w:rPr>
        <w:t>Hold companies accountable</w:t>
      </w:r>
      <w:r w:rsidRPr="005B20C0">
        <w:rPr>
          <w:rFonts w:ascii="Arial" w:eastAsia="Encode Sans" w:hAnsi="Arial" w:cs="Arial"/>
          <w:color w:val="333333"/>
        </w:rPr>
        <w:t xml:space="preserve"> for transparency in how their so-called biodegradable products actually behave. </w:t>
      </w:r>
    </w:p>
    <w:p w14:paraId="43B6F54D" w14:textId="1F763641" w:rsidR="001E0FDC" w:rsidRPr="005B20C0" w:rsidRDefault="1D00A851" w:rsidP="28894030">
      <w:pPr>
        <w:shd w:val="clear" w:color="auto" w:fill="FFFFFF" w:themeFill="background1"/>
        <w:spacing w:after="150" w:line="276" w:lineRule="auto"/>
        <w:jc w:val="both"/>
        <w:rPr>
          <w:rFonts w:ascii="Arial" w:hAnsi="Arial" w:cs="Arial"/>
        </w:rPr>
      </w:pPr>
      <w:r w:rsidRPr="005B20C0">
        <w:rPr>
          <w:rFonts w:ascii="Arial" w:eastAsia="Encode Sans" w:hAnsi="Arial" w:cs="Arial"/>
          <w:color w:val="333333"/>
        </w:rPr>
        <w:t xml:space="preserve">Education is power—but it should not be an excuse to dump responsibility on individuals while some keep profiting from highly unethical uses. </w:t>
      </w:r>
      <w:r w:rsidRPr="005B20C0">
        <w:rPr>
          <w:rFonts w:ascii="Arial" w:eastAsia="Encode Sans" w:hAnsi="Arial" w:cs="Arial"/>
          <w:b/>
          <w:bCs/>
          <w:color w:val="333333"/>
        </w:rPr>
        <w:t xml:space="preserve">Consumers can demand, but governments must regulate. </w:t>
      </w:r>
    </w:p>
    <w:p w14:paraId="73DC0B65" w14:textId="5B7F1488" w:rsidR="001E0FDC" w:rsidRPr="005B20C0" w:rsidRDefault="1D00A851" w:rsidP="28894030">
      <w:pPr>
        <w:shd w:val="clear" w:color="auto" w:fill="FFFFFF" w:themeFill="background1"/>
        <w:spacing w:after="150" w:line="276" w:lineRule="auto"/>
        <w:jc w:val="both"/>
        <w:rPr>
          <w:rFonts w:ascii="Arial" w:hAnsi="Arial" w:cs="Arial"/>
        </w:rPr>
      </w:pPr>
      <w:r w:rsidRPr="005B20C0">
        <w:rPr>
          <w:rFonts w:ascii="Arial" w:eastAsia="Encode Sans" w:hAnsi="Arial" w:cs="Arial"/>
          <w:color w:val="333333"/>
        </w:rPr>
        <w:t xml:space="preserve"> </w:t>
      </w:r>
    </w:p>
    <w:p w14:paraId="6842FB59" w14:textId="239C5855" w:rsidR="001E0FDC" w:rsidRPr="005B20C0" w:rsidRDefault="1D00A851" w:rsidP="28894030">
      <w:pPr>
        <w:pStyle w:val="Ttulo3"/>
        <w:shd w:val="clear" w:color="auto" w:fill="FFFFFF" w:themeFill="background1"/>
        <w:spacing w:before="0" w:after="150" w:line="276" w:lineRule="auto"/>
        <w:jc w:val="both"/>
        <w:rPr>
          <w:rFonts w:ascii="Arial" w:hAnsi="Arial" w:cs="Arial"/>
        </w:rPr>
      </w:pPr>
      <w:r w:rsidRPr="005B20C0">
        <w:rPr>
          <w:rFonts w:ascii="Arial" w:eastAsia="Helvetica" w:hAnsi="Arial" w:cs="Arial"/>
          <w:b/>
          <w:bCs/>
          <w:caps/>
          <w:color w:val="0A4149"/>
        </w:rPr>
        <w:t xml:space="preserve">Back to the “suture” </w:t>
      </w:r>
    </w:p>
    <w:p w14:paraId="4B08DE10" w14:textId="5527909C" w:rsidR="001E0FDC" w:rsidRPr="005B20C0" w:rsidRDefault="1D00A851" w:rsidP="28894030">
      <w:pPr>
        <w:shd w:val="clear" w:color="auto" w:fill="FFFFFF" w:themeFill="background1"/>
        <w:spacing w:after="150" w:line="276" w:lineRule="auto"/>
        <w:jc w:val="both"/>
        <w:rPr>
          <w:rFonts w:ascii="Arial" w:hAnsi="Arial" w:cs="Arial"/>
        </w:rPr>
      </w:pPr>
      <w:r w:rsidRPr="005B20C0">
        <w:rPr>
          <w:rFonts w:ascii="Arial" w:eastAsia="Encode Sans" w:hAnsi="Arial" w:cs="Arial"/>
          <w:color w:val="333333"/>
        </w:rPr>
        <w:t xml:space="preserve">Biodegradable plastics are not evil, and the article is aimed at generating action, but they are not the solution. At best, they’re a transitional tool for specific contexts; at worst, they’re a dangerous distraction that delays the shift we really need. The future lies in switching the economic model off material use, regulation of business practices, and welfare models that protect not just human life, but all </w:t>
      </w:r>
      <w:proofErr w:type="gramStart"/>
      <w:r w:rsidRPr="005B20C0">
        <w:rPr>
          <w:rFonts w:ascii="Arial" w:eastAsia="Encode Sans" w:hAnsi="Arial" w:cs="Arial"/>
          <w:color w:val="333333"/>
        </w:rPr>
        <w:t>living</w:t>
      </w:r>
      <w:proofErr w:type="gramEnd"/>
      <w:r w:rsidRPr="005B20C0">
        <w:rPr>
          <w:rFonts w:ascii="Arial" w:eastAsia="Encode Sans" w:hAnsi="Arial" w:cs="Arial"/>
          <w:color w:val="333333"/>
        </w:rPr>
        <w:t xml:space="preserve"> systems. </w:t>
      </w:r>
    </w:p>
    <w:p w14:paraId="5C1A07E2" w14:textId="2A0E279F" w:rsidR="001E0FDC" w:rsidRPr="005B20C0" w:rsidRDefault="1D00A851" w:rsidP="28894030">
      <w:pPr>
        <w:spacing w:line="276" w:lineRule="auto"/>
        <w:jc w:val="both"/>
        <w:rPr>
          <w:rFonts w:ascii="Arial" w:hAnsi="Arial" w:cs="Arial"/>
        </w:rPr>
      </w:pPr>
      <w:r w:rsidRPr="005B20C0">
        <w:rPr>
          <w:rFonts w:ascii="Arial" w:eastAsia="Encode Sans" w:hAnsi="Arial" w:cs="Arial"/>
          <w:color w:val="333333"/>
          <w:lang w:val="en-US"/>
        </w:rPr>
        <w:t xml:space="preserve">While corporations spin “eco-friendly” stories and </w:t>
      </w:r>
      <w:proofErr w:type="gramStart"/>
      <w:r w:rsidRPr="005B20C0">
        <w:rPr>
          <w:rFonts w:ascii="Arial" w:eastAsia="Encode Sans" w:hAnsi="Arial" w:cs="Arial"/>
          <w:color w:val="333333"/>
          <w:lang w:val="en-US"/>
        </w:rPr>
        <w:t>politicians</w:t>
      </w:r>
      <w:proofErr w:type="gramEnd"/>
      <w:r w:rsidRPr="005B20C0">
        <w:rPr>
          <w:rFonts w:ascii="Arial" w:eastAsia="Encode Sans" w:hAnsi="Arial" w:cs="Arial"/>
          <w:color w:val="333333"/>
          <w:lang w:val="en-US"/>
        </w:rPr>
        <w:t xml:space="preserve"> debate in circles, the planet doesn’t wait. It keeps warming, flooding, and choking. And unless we stop rationalizing damaging or destroying life on earth, biodegradable plastics will not be a miracle solution but nothing more than a band-aid on a hemorrhage.</w:t>
      </w:r>
    </w:p>
    <w:sectPr w:rsidR="001E0FDC" w:rsidRPr="005B20C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Encode Sans">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6F0941"/>
    <w:multiLevelType w:val="hybridMultilevel"/>
    <w:tmpl w:val="8730B99E"/>
    <w:lvl w:ilvl="0" w:tplc="529C79B8">
      <w:start w:val="1"/>
      <w:numFmt w:val="bullet"/>
      <w:lvlText w:val=""/>
      <w:lvlJc w:val="left"/>
      <w:pPr>
        <w:ind w:left="720" w:hanging="360"/>
      </w:pPr>
      <w:rPr>
        <w:rFonts w:ascii="Symbol" w:hAnsi="Symbol" w:hint="default"/>
      </w:rPr>
    </w:lvl>
    <w:lvl w:ilvl="1" w:tplc="2564F490">
      <w:start w:val="1"/>
      <w:numFmt w:val="bullet"/>
      <w:lvlText w:val="o"/>
      <w:lvlJc w:val="left"/>
      <w:pPr>
        <w:ind w:left="1440" w:hanging="360"/>
      </w:pPr>
      <w:rPr>
        <w:rFonts w:ascii="Courier New" w:hAnsi="Courier New" w:hint="default"/>
      </w:rPr>
    </w:lvl>
    <w:lvl w:ilvl="2" w:tplc="FEEA022A">
      <w:start w:val="1"/>
      <w:numFmt w:val="bullet"/>
      <w:lvlText w:val=""/>
      <w:lvlJc w:val="left"/>
      <w:pPr>
        <w:ind w:left="2160" w:hanging="360"/>
      </w:pPr>
      <w:rPr>
        <w:rFonts w:ascii="Wingdings" w:hAnsi="Wingdings" w:hint="default"/>
      </w:rPr>
    </w:lvl>
    <w:lvl w:ilvl="3" w:tplc="72A2361C">
      <w:start w:val="1"/>
      <w:numFmt w:val="bullet"/>
      <w:lvlText w:val=""/>
      <w:lvlJc w:val="left"/>
      <w:pPr>
        <w:ind w:left="2880" w:hanging="360"/>
      </w:pPr>
      <w:rPr>
        <w:rFonts w:ascii="Symbol" w:hAnsi="Symbol" w:hint="default"/>
      </w:rPr>
    </w:lvl>
    <w:lvl w:ilvl="4" w:tplc="5FAA91C4">
      <w:start w:val="1"/>
      <w:numFmt w:val="bullet"/>
      <w:lvlText w:val="o"/>
      <w:lvlJc w:val="left"/>
      <w:pPr>
        <w:ind w:left="3600" w:hanging="360"/>
      </w:pPr>
      <w:rPr>
        <w:rFonts w:ascii="Courier New" w:hAnsi="Courier New" w:hint="default"/>
      </w:rPr>
    </w:lvl>
    <w:lvl w:ilvl="5" w:tplc="90209C38">
      <w:start w:val="1"/>
      <w:numFmt w:val="bullet"/>
      <w:lvlText w:val=""/>
      <w:lvlJc w:val="left"/>
      <w:pPr>
        <w:ind w:left="4320" w:hanging="360"/>
      </w:pPr>
      <w:rPr>
        <w:rFonts w:ascii="Wingdings" w:hAnsi="Wingdings" w:hint="default"/>
      </w:rPr>
    </w:lvl>
    <w:lvl w:ilvl="6" w:tplc="B396078E">
      <w:start w:val="1"/>
      <w:numFmt w:val="bullet"/>
      <w:lvlText w:val=""/>
      <w:lvlJc w:val="left"/>
      <w:pPr>
        <w:ind w:left="5040" w:hanging="360"/>
      </w:pPr>
      <w:rPr>
        <w:rFonts w:ascii="Symbol" w:hAnsi="Symbol" w:hint="default"/>
      </w:rPr>
    </w:lvl>
    <w:lvl w:ilvl="7" w:tplc="31B0B99A">
      <w:start w:val="1"/>
      <w:numFmt w:val="bullet"/>
      <w:lvlText w:val="o"/>
      <w:lvlJc w:val="left"/>
      <w:pPr>
        <w:ind w:left="5760" w:hanging="360"/>
      </w:pPr>
      <w:rPr>
        <w:rFonts w:ascii="Courier New" w:hAnsi="Courier New" w:hint="default"/>
      </w:rPr>
    </w:lvl>
    <w:lvl w:ilvl="8" w:tplc="E040856C">
      <w:start w:val="1"/>
      <w:numFmt w:val="bullet"/>
      <w:lvlText w:val=""/>
      <w:lvlJc w:val="left"/>
      <w:pPr>
        <w:ind w:left="6480" w:hanging="360"/>
      </w:pPr>
      <w:rPr>
        <w:rFonts w:ascii="Wingdings" w:hAnsi="Wingdings" w:hint="default"/>
      </w:rPr>
    </w:lvl>
  </w:abstractNum>
  <w:abstractNum w:abstractNumId="1" w15:restartNumberingAfterBreak="0">
    <w:nsid w:val="6D497F06"/>
    <w:multiLevelType w:val="hybridMultilevel"/>
    <w:tmpl w:val="9EB89506"/>
    <w:lvl w:ilvl="0" w:tplc="72D27C66">
      <w:start w:val="1"/>
      <w:numFmt w:val="bullet"/>
      <w:lvlText w:val=""/>
      <w:lvlJc w:val="left"/>
      <w:pPr>
        <w:ind w:left="720" w:hanging="360"/>
      </w:pPr>
      <w:rPr>
        <w:rFonts w:ascii="Symbol" w:hAnsi="Symbol" w:hint="default"/>
      </w:rPr>
    </w:lvl>
    <w:lvl w:ilvl="1" w:tplc="B0EA7448">
      <w:start w:val="1"/>
      <w:numFmt w:val="bullet"/>
      <w:lvlText w:val="o"/>
      <w:lvlJc w:val="left"/>
      <w:pPr>
        <w:ind w:left="1440" w:hanging="360"/>
      </w:pPr>
      <w:rPr>
        <w:rFonts w:ascii="Courier New" w:hAnsi="Courier New" w:hint="default"/>
      </w:rPr>
    </w:lvl>
    <w:lvl w:ilvl="2" w:tplc="544EC974">
      <w:start w:val="1"/>
      <w:numFmt w:val="bullet"/>
      <w:lvlText w:val=""/>
      <w:lvlJc w:val="left"/>
      <w:pPr>
        <w:ind w:left="2160" w:hanging="360"/>
      </w:pPr>
      <w:rPr>
        <w:rFonts w:ascii="Wingdings" w:hAnsi="Wingdings" w:hint="default"/>
      </w:rPr>
    </w:lvl>
    <w:lvl w:ilvl="3" w:tplc="0EB805B2">
      <w:start w:val="1"/>
      <w:numFmt w:val="bullet"/>
      <w:lvlText w:val=""/>
      <w:lvlJc w:val="left"/>
      <w:pPr>
        <w:ind w:left="2880" w:hanging="360"/>
      </w:pPr>
      <w:rPr>
        <w:rFonts w:ascii="Symbol" w:hAnsi="Symbol" w:hint="default"/>
      </w:rPr>
    </w:lvl>
    <w:lvl w:ilvl="4" w:tplc="C9901732">
      <w:start w:val="1"/>
      <w:numFmt w:val="bullet"/>
      <w:lvlText w:val="o"/>
      <w:lvlJc w:val="left"/>
      <w:pPr>
        <w:ind w:left="3600" w:hanging="360"/>
      </w:pPr>
      <w:rPr>
        <w:rFonts w:ascii="Courier New" w:hAnsi="Courier New" w:hint="default"/>
      </w:rPr>
    </w:lvl>
    <w:lvl w:ilvl="5" w:tplc="502C41A2">
      <w:start w:val="1"/>
      <w:numFmt w:val="bullet"/>
      <w:lvlText w:val=""/>
      <w:lvlJc w:val="left"/>
      <w:pPr>
        <w:ind w:left="4320" w:hanging="360"/>
      </w:pPr>
      <w:rPr>
        <w:rFonts w:ascii="Wingdings" w:hAnsi="Wingdings" w:hint="default"/>
      </w:rPr>
    </w:lvl>
    <w:lvl w:ilvl="6" w:tplc="447C9DBC">
      <w:start w:val="1"/>
      <w:numFmt w:val="bullet"/>
      <w:lvlText w:val=""/>
      <w:lvlJc w:val="left"/>
      <w:pPr>
        <w:ind w:left="5040" w:hanging="360"/>
      </w:pPr>
      <w:rPr>
        <w:rFonts w:ascii="Symbol" w:hAnsi="Symbol" w:hint="default"/>
      </w:rPr>
    </w:lvl>
    <w:lvl w:ilvl="7" w:tplc="C042518A">
      <w:start w:val="1"/>
      <w:numFmt w:val="bullet"/>
      <w:lvlText w:val="o"/>
      <w:lvlJc w:val="left"/>
      <w:pPr>
        <w:ind w:left="5760" w:hanging="360"/>
      </w:pPr>
      <w:rPr>
        <w:rFonts w:ascii="Courier New" w:hAnsi="Courier New" w:hint="default"/>
      </w:rPr>
    </w:lvl>
    <w:lvl w:ilvl="8" w:tplc="710655A6">
      <w:start w:val="1"/>
      <w:numFmt w:val="bullet"/>
      <w:lvlText w:val=""/>
      <w:lvlJc w:val="left"/>
      <w:pPr>
        <w:ind w:left="6480" w:hanging="360"/>
      </w:pPr>
      <w:rPr>
        <w:rFonts w:ascii="Wingdings" w:hAnsi="Wingdings" w:hint="default"/>
      </w:rPr>
    </w:lvl>
  </w:abstractNum>
  <w:num w:numId="1" w16cid:durableId="1170415334">
    <w:abstractNumId w:val="1"/>
  </w:num>
  <w:num w:numId="2" w16cid:durableId="12728615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4949DD2"/>
    <w:rsid w:val="001E0FDC"/>
    <w:rsid w:val="00382122"/>
    <w:rsid w:val="004F4E07"/>
    <w:rsid w:val="005B20C0"/>
    <w:rsid w:val="008357EA"/>
    <w:rsid w:val="008C0F68"/>
    <w:rsid w:val="009223C9"/>
    <w:rsid w:val="028D8943"/>
    <w:rsid w:val="02941896"/>
    <w:rsid w:val="03B5AFB2"/>
    <w:rsid w:val="04417A66"/>
    <w:rsid w:val="092CDA44"/>
    <w:rsid w:val="0A8AA7D1"/>
    <w:rsid w:val="0CEE3E5C"/>
    <w:rsid w:val="0D7F94D9"/>
    <w:rsid w:val="107D307A"/>
    <w:rsid w:val="1400B29D"/>
    <w:rsid w:val="141EEEB7"/>
    <w:rsid w:val="1431FA7B"/>
    <w:rsid w:val="1A38DABD"/>
    <w:rsid w:val="1C036938"/>
    <w:rsid w:val="1CD91084"/>
    <w:rsid w:val="1D00A851"/>
    <w:rsid w:val="1E853033"/>
    <w:rsid w:val="20DB240B"/>
    <w:rsid w:val="20FEB912"/>
    <w:rsid w:val="21759156"/>
    <w:rsid w:val="219033E0"/>
    <w:rsid w:val="2238AF34"/>
    <w:rsid w:val="24949DD2"/>
    <w:rsid w:val="24C793AD"/>
    <w:rsid w:val="24DDE6C9"/>
    <w:rsid w:val="26B39DCC"/>
    <w:rsid w:val="26D8B97F"/>
    <w:rsid w:val="27108A64"/>
    <w:rsid w:val="28894030"/>
    <w:rsid w:val="29E5FEF9"/>
    <w:rsid w:val="2E384026"/>
    <w:rsid w:val="30D5F4D7"/>
    <w:rsid w:val="31B31922"/>
    <w:rsid w:val="322358A9"/>
    <w:rsid w:val="3284B93C"/>
    <w:rsid w:val="34E61CF6"/>
    <w:rsid w:val="366386C8"/>
    <w:rsid w:val="37267778"/>
    <w:rsid w:val="375C96A0"/>
    <w:rsid w:val="38C15E45"/>
    <w:rsid w:val="39A7C51B"/>
    <w:rsid w:val="3D29EE20"/>
    <w:rsid w:val="40D17800"/>
    <w:rsid w:val="41C74FA3"/>
    <w:rsid w:val="4235CA29"/>
    <w:rsid w:val="426D113B"/>
    <w:rsid w:val="451C9F85"/>
    <w:rsid w:val="4686478D"/>
    <w:rsid w:val="46E2528B"/>
    <w:rsid w:val="49E73B1A"/>
    <w:rsid w:val="4DC2C46F"/>
    <w:rsid w:val="5207C18A"/>
    <w:rsid w:val="53CDEFC7"/>
    <w:rsid w:val="58AB11A3"/>
    <w:rsid w:val="5E6B8DD7"/>
    <w:rsid w:val="5EC633C7"/>
    <w:rsid w:val="5FE77741"/>
    <w:rsid w:val="611DDB52"/>
    <w:rsid w:val="618C7F90"/>
    <w:rsid w:val="6683D8E2"/>
    <w:rsid w:val="669B9520"/>
    <w:rsid w:val="690D8F05"/>
    <w:rsid w:val="6A5F204F"/>
    <w:rsid w:val="6AEE7036"/>
    <w:rsid w:val="6D16EEF9"/>
    <w:rsid w:val="6DD23B19"/>
    <w:rsid w:val="6ED1DF18"/>
    <w:rsid w:val="7187EAB7"/>
    <w:rsid w:val="72586638"/>
    <w:rsid w:val="725D62B9"/>
    <w:rsid w:val="72D52C5C"/>
    <w:rsid w:val="73269C1D"/>
    <w:rsid w:val="732E97DB"/>
    <w:rsid w:val="738652A8"/>
    <w:rsid w:val="7589D739"/>
    <w:rsid w:val="76188A3E"/>
    <w:rsid w:val="780B7017"/>
    <w:rsid w:val="7AE018DF"/>
    <w:rsid w:val="7B0FE78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49DD2"/>
  <w15:chartTrackingRefBased/>
  <w15:docId w15:val="{6A74F2F9-A06C-40F7-AC56-71156F0F2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uiPriority w:val="9"/>
    <w:unhideWhenUsed/>
    <w:qFormat/>
    <w:rsid w:val="288940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uiPriority w:val="9"/>
    <w:unhideWhenUsed/>
    <w:qFormat/>
    <w:rsid w:val="28894030"/>
    <w:pPr>
      <w:keepNext/>
      <w:keepLines/>
      <w:spacing w:before="160" w:after="80"/>
      <w:outlineLvl w:val="2"/>
    </w:pPr>
    <w:rPr>
      <w:rFonts w:eastAsiaTheme="majorEastAsia" w:cstheme="majorBidi"/>
      <w:color w:val="0F476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pPr>
      <w:ind w:left="720"/>
      <w:contextualSpacing/>
    </w:pPr>
  </w:style>
  <w:style w:type="character" w:styleId="Refdecomentario">
    <w:name w:val="annotation reference"/>
    <w:basedOn w:val="Fuentedeprrafopredeter"/>
    <w:uiPriority w:val="99"/>
    <w:semiHidden/>
    <w:unhideWhenUsed/>
    <w:rsid w:val="004F4E07"/>
    <w:rPr>
      <w:sz w:val="16"/>
      <w:szCs w:val="16"/>
    </w:rPr>
  </w:style>
  <w:style w:type="paragraph" w:styleId="Textocomentario">
    <w:name w:val="annotation text"/>
    <w:basedOn w:val="Normal"/>
    <w:link w:val="TextocomentarioCar"/>
    <w:uiPriority w:val="99"/>
    <w:unhideWhenUsed/>
    <w:rsid w:val="004F4E07"/>
    <w:pPr>
      <w:spacing w:line="240" w:lineRule="auto"/>
    </w:pPr>
    <w:rPr>
      <w:sz w:val="20"/>
      <w:szCs w:val="20"/>
    </w:rPr>
  </w:style>
  <w:style w:type="character" w:customStyle="1" w:styleId="TextocomentarioCar">
    <w:name w:val="Texto comentario Car"/>
    <w:basedOn w:val="Fuentedeprrafopredeter"/>
    <w:link w:val="Textocomentario"/>
    <w:uiPriority w:val="99"/>
    <w:rsid w:val="004F4E07"/>
    <w:rPr>
      <w:sz w:val="20"/>
      <w:szCs w:val="20"/>
    </w:rPr>
  </w:style>
  <w:style w:type="paragraph" w:styleId="Asuntodelcomentario">
    <w:name w:val="annotation subject"/>
    <w:basedOn w:val="Textocomentario"/>
    <w:next w:val="Textocomentario"/>
    <w:link w:val="AsuntodelcomentarioCar"/>
    <w:uiPriority w:val="99"/>
    <w:semiHidden/>
    <w:unhideWhenUsed/>
    <w:rsid w:val="004F4E07"/>
    <w:rPr>
      <w:b/>
      <w:bCs/>
    </w:rPr>
  </w:style>
  <w:style w:type="character" w:customStyle="1" w:styleId="AsuntodelcomentarioCar">
    <w:name w:val="Asunto del comentario Car"/>
    <w:basedOn w:val="TextocomentarioCar"/>
    <w:link w:val="Asuntodelcomentario"/>
    <w:uiPriority w:val="99"/>
    <w:semiHidden/>
    <w:rsid w:val="004F4E0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c2c2904-4ea2-47eb-9030-0d860627b102">
      <Terms xmlns="http://schemas.microsoft.com/office/infopath/2007/PartnerControls"/>
    </lcf76f155ced4ddcb4097134ff3c332f>
    <TaxCatchAll xmlns="07a7630b-ffb1-44d3-803b-f3a2b9d9301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20F1672B4FC6664FB1ED584E00E82533" ma:contentTypeVersion="15" ma:contentTypeDescription="Crear nuevo documento." ma:contentTypeScope="" ma:versionID="9a236a8ca43f1941bd28a135b099625d">
  <xsd:schema xmlns:xsd="http://www.w3.org/2001/XMLSchema" xmlns:xs="http://www.w3.org/2001/XMLSchema" xmlns:p="http://schemas.microsoft.com/office/2006/metadata/properties" xmlns:ns2="5c2c2904-4ea2-47eb-9030-0d860627b102" xmlns:ns3="07a7630b-ffb1-44d3-803b-f3a2b9d9301b" targetNamespace="http://schemas.microsoft.com/office/2006/metadata/properties" ma:root="true" ma:fieldsID="2b9281f74eb1f6969aa432f1d5f6874d" ns2:_="" ns3:_="">
    <xsd:import namespace="5c2c2904-4ea2-47eb-9030-0d860627b102"/>
    <xsd:import namespace="07a7630b-ffb1-44d3-803b-f3a2b9d9301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c2904-4ea2-47eb-9030-0d860627b1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f3c0d9d0-1c00-41a4-b251-1bc46e8b8db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a7630b-ffb1-44d3-803b-f3a2b9d930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0ee5f3-68f0-4fb3-9156-0eebf8b01fba}" ma:internalName="TaxCatchAll" ma:showField="CatchAllData" ma:web="07a7630b-ffb1-44d3-803b-f3a2b9d9301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E61BE5-0B78-4796-9F74-7CCA0E5F6D79}">
  <ds:schemaRefs>
    <ds:schemaRef ds:uri="http://schemas.microsoft.com/office/2006/metadata/properties"/>
    <ds:schemaRef ds:uri="http://schemas.microsoft.com/office/infopath/2007/PartnerControls"/>
    <ds:schemaRef ds:uri="5c2c2904-4ea2-47eb-9030-0d860627b102"/>
    <ds:schemaRef ds:uri="07a7630b-ffb1-44d3-803b-f3a2b9d9301b"/>
  </ds:schemaRefs>
</ds:datastoreItem>
</file>

<file path=customXml/itemProps2.xml><?xml version="1.0" encoding="utf-8"?>
<ds:datastoreItem xmlns:ds="http://schemas.openxmlformats.org/officeDocument/2006/customXml" ds:itemID="{CBCD9C7D-BC8B-4164-B6DF-AC4E3D86175E}">
  <ds:schemaRefs>
    <ds:schemaRef ds:uri="http://schemas.microsoft.com/sharepoint/v3/contenttype/forms"/>
  </ds:schemaRefs>
</ds:datastoreItem>
</file>

<file path=customXml/itemProps3.xml><?xml version="1.0" encoding="utf-8"?>
<ds:datastoreItem xmlns:ds="http://schemas.openxmlformats.org/officeDocument/2006/customXml" ds:itemID="{469FA02D-154F-483F-B19D-724C683FDD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c2904-4ea2-47eb-9030-0d860627b102"/>
    <ds:schemaRef ds:uri="07a7630b-ffb1-44d3-803b-f3a2b9d930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8141450-2387-4aca-b41f-19cd6be9dd3c}" enabled="1" method="Standard" siteId="{adf10e2b-b6e9-41d6-be2f-c12bb566019c}"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594</Words>
  <Characters>3272</Characters>
  <Application>Microsoft Office Word</Application>
  <DocSecurity>0</DocSecurity>
  <Lines>27</Lines>
  <Paragraphs>7</Paragraphs>
  <ScaleCrop>false</ScaleCrop>
  <Company/>
  <LinksUpToDate>false</LinksUpToDate>
  <CharactersWithSpaces>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Antonio Pavón Losada</dc:creator>
  <cp:keywords/>
  <dc:description/>
  <cp:lastModifiedBy>Lidia Moscardó</cp:lastModifiedBy>
  <cp:revision>5</cp:revision>
  <dcterms:created xsi:type="dcterms:W3CDTF">2025-09-29T15:01:00Z</dcterms:created>
  <dcterms:modified xsi:type="dcterms:W3CDTF">2026-09-15T12:17:00Z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0x01010020F1672B4FC6664FB1ED584E00E82533</vt:lpwstr>
  </property>
  <property fmtid="{D5CDD505-2E9C-101B-9397-08002B2CF9AE}" pid="3" name="MediaServiceImageTags">
    <vt:lpwstr/>
  </property>
</Properties>
</file>