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4C6B6" w14:textId="589A2281" w:rsidR="2E6F3D13" w:rsidRPr="00795465" w:rsidRDefault="7ACCADD0" w:rsidP="427BD94E">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795465">
        <w:rPr>
          <w:rFonts w:ascii="Arial" w:eastAsia="Helvetica" w:hAnsi="Arial" w:cs="Arial"/>
          <w:b/>
          <w:bCs/>
          <w:caps/>
          <w:color w:val="0A4149"/>
          <w:sz w:val="36"/>
          <w:szCs w:val="36"/>
        </w:rPr>
        <w:t xml:space="preserve">How NGOs Can Build Awareness That Truly Works: Structuring Messages for Real Impact </w:t>
      </w:r>
    </w:p>
    <w:p w14:paraId="7A6AAEE4" w14:textId="1CD7F773"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It’s not that people don’t care. It’s that our attention has become one of the scarcest resources we have. Most of us give a video just a few seconds before deciding whether to keep watching or move on. By the time the message arrives, our mind is often somewhere else. Overwhelmed. Distracted. Tired. </w:t>
      </w:r>
      <w:proofErr w:type="gramStart"/>
      <w:r w:rsidRPr="00795465">
        <w:rPr>
          <w:rFonts w:ascii="Arial" w:eastAsia="Encode Sans" w:hAnsi="Arial" w:cs="Arial"/>
          <w:color w:val="333333"/>
        </w:rPr>
        <w:t>So what happens?</w:t>
      </w:r>
      <w:proofErr w:type="gramEnd"/>
      <w:r w:rsidRPr="00795465">
        <w:rPr>
          <w:rFonts w:ascii="Arial" w:eastAsia="Encode Sans" w:hAnsi="Arial" w:cs="Arial"/>
          <w:color w:val="333333"/>
        </w:rPr>
        <w:t xml:space="preserve"> We protect ourselves. We retreat into our comfort bubble. We keep scrolling. And this raises a critical question for NGOs working on sustainability, justice and social change: </w:t>
      </w:r>
    </w:p>
    <w:p w14:paraId="3AAF9547" w14:textId="5886C08F"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b/>
          <w:bCs/>
          <w:color w:val="333333"/>
        </w:rPr>
        <w:t>How do you connect with a population that feels more informed than ever, but also more disconnected than ever?</w:t>
      </w:r>
      <w:r w:rsidRPr="00795465">
        <w:rPr>
          <w:rFonts w:ascii="Arial" w:eastAsia="Encode Sans" w:hAnsi="Arial" w:cs="Arial"/>
          <w:color w:val="333333"/>
        </w:rPr>
        <w:t xml:space="preserve"> </w:t>
      </w:r>
    </w:p>
    <w:p w14:paraId="282A8E71" w14:textId="436C35FF"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37F0FBA8" w14:textId="05460D61" w:rsidR="2E6F3D13" w:rsidRPr="00795465" w:rsidRDefault="7ACCADD0" w:rsidP="427BD94E">
      <w:pPr>
        <w:pStyle w:val="Ttulo3"/>
        <w:numPr>
          <w:ilvl w:val="0"/>
          <w:numId w:val="13"/>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Start With a Real Human Story</w:t>
      </w:r>
    </w:p>
    <w:p w14:paraId="0B90F9F6" w14:textId="5D580DB2"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People don’t engage with abstract problems, they engage with other people. </w:t>
      </w:r>
    </w:p>
    <w:p w14:paraId="11BFB5B5" w14:textId="17796518"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Instead of opening with technical explanations or broad statements, NGOs can begin with something recognisable: a moment, an experience, a small tension that feels true. A mother choosing between convenience and sustainability. A student frustrated by </w:t>
      </w:r>
      <w:proofErr w:type="gramStart"/>
      <w:r w:rsidRPr="00795465">
        <w:rPr>
          <w:rFonts w:ascii="Arial" w:eastAsia="Encode Sans" w:hAnsi="Arial" w:cs="Arial"/>
          <w:color w:val="333333"/>
        </w:rPr>
        <w:t>single</w:t>
      </w:r>
      <w:proofErr w:type="gramEnd"/>
      <w:r w:rsidRPr="00795465">
        <w:rPr>
          <w:rFonts w:ascii="Arial" w:eastAsia="Encode Sans" w:hAnsi="Arial" w:cs="Arial"/>
          <w:color w:val="333333"/>
        </w:rPr>
        <w:t xml:space="preserve">-use waste on campus. A consumer confused by contradictory labels. </w:t>
      </w:r>
    </w:p>
    <w:p w14:paraId="59EF79FA" w14:textId="75946B66"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 story is the doorway. </w:t>
      </w:r>
    </w:p>
    <w:p w14:paraId="537AC3BC" w14:textId="26F641FA"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Once the audience can empathize, they’re willing to follow. </w:t>
      </w:r>
    </w:p>
    <w:p w14:paraId="6B72EBA8" w14:textId="68A43343"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Taking into account distance between food packaging and humanitarian emergencies, a powerful example of this storytelling approach is Save the Children’s </w:t>
      </w:r>
      <w:r w:rsidRPr="00795465">
        <w:rPr>
          <w:rFonts w:ascii="Arial" w:eastAsia="Encode Sans" w:hAnsi="Arial" w:cs="Arial"/>
          <w:i/>
          <w:iCs/>
          <w:color w:val="333333"/>
        </w:rPr>
        <w:t>“If London Were Syria”</w:t>
      </w:r>
      <w:r w:rsidRPr="00795465">
        <w:rPr>
          <w:rFonts w:ascii="Arial" w:eastAsia="Encode Sans" w:hAnsi="Arial" w:cs="Arial"/>
          <w:color w:val="333333"/>
        </w:rPr>
        <w:t xml:space="preserve">, which places a familiar setting in an unfamiliar crisis, helping viewers emotionally understand something they might otherwise scroll past:  </w:t>
      </w:r>
    </w:p>
    <w:p w14:paraId="32F92D6A" w14:textId="1657A8F3"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7B44FF0B" w14:textId="2F99E866" w:rsidR="2E6F3D13" w:rsidRPr="00795465" w:rsidRDefault="7ACCADD0" w:rsidP="00795465">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75E48652" wp14:editId="477DB222">
            <wp:extent cx="3733800" cy="2105025"/>
            <wp:effectExtent l="0" t="0" r="0" b="0"/>
            <wp:docPr id="1328963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963849" name="Picture 1328963849"/>
                    <pic:cNvPicPr/>
                  </pic:nvPicPr>
                  <pic:blipFill>
                    <a:blip r:embed="rId8">
                      <a:extLst>
                        <a:ext uri="{28A0092B-C50C-407E-A947-70E740481C1C}">
                          <a14:useLocalDpi xmlns:a14="http://schemas.microsoft.com/office/drawing/2010/main"/>
                        </a:ext>
                      </a:extLst>
                    </a:blip>
                    <a:stretch>
                      <a:fillRect/>
                    </a:stretch>
                  </pic:blipFill>
                  <pic:spPr>
                    <a:xfrm>
                      <a:off x="0" y="0"/>
                      <a:ext cx="3733800" cy="2105025"/>
                    </a:xfrm>
                    <a:prstGeom prst="rect">
                      <a:avLst/>
                    </a:prstGeom>
                  </pic:spPr>
                </pic:pic>
              </a:graphicData>
            </a:graphic>
          </wp:inline>
        </w:drawing>
      </w:r>
    </w:p>
    <w:p w14:paraId="4995161F" w14:textId="7BC34DE5"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9">
        <w:r w:rsidRPr="00795465">
          <w:rPr>
            <w:rStyle w:val="Hipervnculo"/>
            <w:rFonts w:ascii="Arial" w:eastAsia="Encode Sans" w:hAnsi="Arial" w:cs="Arial"/>
            <w:i/>
            <w:iCs/>
            <w:color w:val="028287"/>
            <w:sz w:val="20"/>
            <w:szCs w:val="20"/>
          </w:rPr>
          <w:t>If London Were Syria – Save the Children Campaign</w:t>
        </w:r>
      </w:hyperlink>
    </w:p>
    <w:p w14:paraId="5BEAFE87" w14:textId="01480A70"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lastRenderedPageBreak/>
        <w:t xml:space="preserve"> </w:t>
      </w:r>
    </w:p>
    <w:p w14:paraId="071FD09B" w14:textId="5AA76012" w:rsidR="2E6F3D13" w:rsidRPr="00795465" w:rsidRDefault="7ACCADD0" w:rsidP="427BD94E">
      <w:pPr>
        <w:pStyle w:val="Ttulo3"/>
        <w:numPr>
          <w:ilvl w:val="0"/>
          <w:numId w:val="12"/>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 xml:space="preserve"> Make the Message Simple (</w:t>
      </w:r>
      <w:proofErr w:type="gramStart"/>
      <w:r w:rsidRPr="00795465">
        <w:rPr>
          <w:rFonts w:ascii="Arial" w:eastAsia="Helvetica" w:hAnsi="Arial" w:cs="Arial"/>
          <w:b/>
          <w:bCs/>
          <w:caps/>
          <w:color w:val="0A4149"/>
        </w:rPr>
        <w:t>Not Simplistic!</w:t>
      </w:r>
      <w:proofErr w:type="gramEnd"/>
      <w:r w:rsidRPr="00795465">
        <w:rPr>
          <w:rFonts w:ascii="Arial" w:eastAsia="Helvetica" w:hAnsi="Arial" w:cs="Arial"/>
          <w:b/>
          <w:bCs/>
          <w:caps/>
          <w:color w:val="0A4149"/>
        </w:rPr>
        <w:t>)</w:t>
      </w:r>
    </w:p>
    <w:p w14:paraId="1D652B48" w14:textId="2CA54D76"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For most people, the first seconds of a message determine whether they stay or scroll.  A strong message answers, quickly and clearly: </w:t>
      </w:r>
    </w:p>
    <w:p w14:paraId="44719AB2" w14:textId="359999B7" w:rsidR="2E6F3D13" w:rsidRPr="00795465" w:rsidRDefault="7ACCADD0" w:rsidP="427BD94E">
      <w:pPr>
        <w:pStyle w:val="Prrafodelista"/>
        <w:numPr>
          <w:ilvl w:val="0"/>
          <w:numId w:val="1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color w:val="333333"/>
        </w:rPr>
        <w:t xml:space="preserve">What’s happening? </w:t>
      </w:r>
    </w:p>
    <w:p w14:paraId="543282B6" w14:textId="5D5356A2" w:rsidR="2E6F3D13" w:rsidRPr="00795465" w:rsidRDefault="7ACCADD0" w:rsidP="427BD94E">
      <w:pPr>
        <w:pStyle w:val="Prrafodelista"/>
        <w:numPr>
          <w:ilvl w:val="0"/>
          <w:numId w:val="1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color w:val="333333"/>
        </w:rPr>
        <w:t xml:space="preserve">Why does it matter to me? </w:t>
      </w:r>
    </w:p>
    <w:p w14:paraId="52DAABA0" w14:textId="504AF545" w:rsidR="2E6F3D13" w:rsidRPr="00795465" w:rsidRDefault="7ACCADD0" w:rsidP="427BD94E">
      <w:pPr>
        <w:pStyle w:val="Prrafodelista"/>
        <w:numPr>
          <w:ilvl w:val="0"/>
          <w:numId w:val="1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color w:val="333333"/>
        </w:rPr>
        <w:t xml:space="preserve">What can be done? </w:t>
      </w:r>
    </w:p>
    <w:p w14:paraId="15150541" w14:textId="5A14290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Simplicity is not about removing meaning, it’s about making meaning reachable. When people understand the core idea quickly, they’re far more willing to stay with you long enough to absorb the nuance. </w:t>
      </w:r>
    </w:p>
    <w:p w14:paraId="32B30771" w14:textId="5D1FCE40"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 clear example of this communication style is the campaign </w:t>
      </w:r>
      <w:r w:rsidRPr="00795465">
        <w:rPr>
          <w:rFonts w:ascii="Arial" w:eastAsia="Encode Sans" w:hAnsi="Arial" w:cs="Arial"/>
          <w:i/>
          <w:iCs/>
          <w:color w:val="333333"/>
        </w:rPr>
        <w:t>Water for Africa: Marathon Walker</w:t>
      </w:r>
      <w:r w:rsidRPr="00795465">
        <w:rPr>
          <w:rFonts w:ascii="Arial" w:eastAsia="Encode Sans" w:hAnsi="Arial" w:cs="Arial"/>
          <w:color w:val="333333"/>
        </w:rPr>
        <w:t xml:space="preserve">. In just a few seconds you understand the problem, the emotional weight behind it, and the action the viewer is invited to take. There is no overcomplication, only clarity with purpose: </w:t>
      </w:r>
    </w:p>
    <w:p w14:paraId="5137FC40" w14:textId="77777777" w:rsidR="00795465" w:rsidRDefault="7ACCADD0" w:rsidP="427BD94E">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2BF65CB2" wp14:editId="1D513907">
            <wp:extent cx="3590925" cy="2000250"/>
            <wp:effectExtent l="0" t="0" r="0" b="0"/>
            <wp:docPr id="14291116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11661" name="Picture 1429111661"/>
                    <pic:cNvPicPr/>
                  </pic:nvPicPr>
                  <pic:blipFill>
                    <a:blip r:embed="rId10">
                      <a:extLst>
                        <a:ext uri="{28A0092B-C50C-407E-A947-70E740481C1C}">
                          <a14:useLocalDpi xmlns:a14="http://schemas.microsoft.com/office/drawing/2010/main"/>
                        </a:ext>
                      </a:extLst>
                    </a:blip>
                    <a:stretch>
                      <a:fillRect/>
                    </a:stretch>
                  </pic:blipFill>
                  <pic:spPr>
                    <a:xfrm>
                      <a:off x="0" y="0"/>
                      <a:ext cx="3590925" cy="2000250"/>
                    </a:xfrm>
                    <a:prstGeom prst="rect">
                      <a:avLst/>
                    </a:prstGeom>
                  </pic:spPr>
                </pic:pic>
              </a:graphicData>
            </a:graphic>
          </wp:inline>
        </w:drawing>
      </w:r>
      <w:hyperlink r:id="rId11">
        <w:r w:rsidRPr="00795465">
          <w:rPr>
            <w:rStyle w:val="Hipervnculo"/>
            <w:rFonts w:ascii="Arial" w:eastAsia="Encode Sans" w:hAnsi="Arial" w:cs="Arial"/>
            <w:color w:val="028287"/>
          </w:rPr>
          <w:t xml:space="preserve"> </w:t>
        </w:r>
      </w:hyperlink>
    </w:p>
    <w:p w14:paraId="44F40EB0" w14:textId="456866AE"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12">
        <w:proofErr w:type="spellStart"/>
        <w:r w:rsidRPr="00795465">
          <w:rPr>
            <w:rStyle w:val="Hipervnculo"/>
            <w:rFonts w:ascii="Arial" w:eastAsia="Encode Sans" w:hAnsi="Arial" w:cs="Arial"/>
            <w:i/>
            <w:iCs/>
            <w:color w:val="028287"/>
            <w:sz w:val="20"/>
            <w:szCs w:val="20"/>
          </w:rPr>
          <w:t>Marathon</w:t>
        </w:r>
        <w:proofErr w:type="spellEnd"/>
        <w:r w:rsidRPr="00795465">
          <w:rPr>
            <w:rStyle w:val="Hipervnculo"/>
            <w:rFonts w:ascii="Arial" w:eastAsia="Encode Sans" w:hAnsi="Arial" w:cs="Arial"/>
            <w:i/>
            <w:iCs/>
            <w:color w:val="028287"/>
            <w:sz w:val="20"/>
            <w:szCs w:val="20"/>
          </w:rPr>
          <w:t xml:space="preserve"> Walker – Water </w:t>
        </w:r>
        <w:proofErr w:type="spellStart"/>
        <w:r w:rsidRPr="00795465">
          <w:rPr>
            <w:rStyle w:val="Hipervnculo"/>
            <w:rFonts w:ascii="Arial" w:eastAsia="Encode Sans" w:hAnsi="Arial" w:cs="Arial"/>
            <w:i/>
            <w:iCs/>
            <w:color w:val="028287"/>
            <w:sz w:val="20"/>
            <w:szCs w:val="20"/>
          </w:rPr>
          <w:t>for</w:t>
        </w:r>
        <w:proofErr w:type="spellEnd"/>
        <w:r w:rsidRPr="00795465">
          <w:rPr>
            <w:rStyle w:val="Hipervnculo"/>
            <w:rFonts w:ascii="Arial" w:eastAsia="Encode Sans" w:hAnsi="Arial" w:cs="Arial"/>
            <w:i/>
            <w:iCs/>
            <w:color w:val="028287"/>
            <w:sz w:val="20"/>
            <w:szCs w:val="20"/>
          </w:rPr>
          <w:t xml:space="preserve"> Africa Campaign</w:t>
        </w:r>
      </w:hyperlink>
    </w:p>
    <w:p w14:paraId="21D8FFC5" w14:textId="3C6EA917"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75AAC484" w14:textId="7C7DE948" w:rsidR="2E6F3D13" w:rsidRPr="00795465" w:rsidRDefault="7ACCADD0" w:rsidP="427BD94E">
      <w:pPr>
        <w:pStyle w:val="Ttulo3"/>
        <w:numPr>
          <w:ilvl w:val="0"/>
          <w:numId w:val="10"/>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Focus on Emotions Before Actions</w:t>
      </w:r>
    </w:p>
    <w:p w14:paraId="6EA49AB8" w14:textId="7DD3F0AE"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Emotion is what makes someone pause instead of scrolling. It creates a sense of relevance: </w:t>
      </w:r>
      <w:r w:rsidRPr="00795465">
        <w:rPr>
          <w:rFonts w:ascii="Arial" w:eastAsia="Encode Sans" w:hAnsi="Arial" w:cs="Arial"/>
          <w:i/>
          <w:iCs/>
          <w:color w:val="333333"/>
        </w:rPr>
        <w:t>this affects me, this reflects something I care about</w:t>
      </w:r>
      <w:r w:rsidRPr="00795465">
        <w:rPr>
          <w:rFonts w:ascii="Arial" w:eastAsia="Encode Sans" w:hAnsi="Arial" w:cs="Arial"/>
          <w:color w:val="333333"/>
        </w:rPr>
        <w:t xml:space="preserve">. When NGOs connect their message to values like fairness, safety, responsibility or community, the audience understands the issue not just with the mind, but with the gut. </w:t>
      </w:r>
    </w:p>
    <w:p w14:paraId="1BD9C28F" w14:textId="7CC4B1D2"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This doesn’t mean exaggeration or drama. It means acknowledging people’s everyday experiences; their frustrations, their concerns, and their hopes. When people feel recognised, they’re more open to understanding the message behind the emotion. </w:t>
      </w:r>
    </w:p>
    <w:p w14:paraId="072A50A3" w14:textId="0371B3CD"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b/>
          <w:bCs/>
          <w:color w:val="333333"/>
        </w:rPr>
        <w:t>Emotion opens the door to understanding, and understanding opens the door to action.</w:t>
      </w:r>
      <w:r w:rsidRPr="00795465">
        <w:rPr>
          <w:rFonts w:ascii="Arial" w:eastAsia="Encode Sans" w:hAnsi="Arial" w:cs="Arial"/>
          <w:color w:val="333333"/>
        </w:rPr>
        <w:t xml:space="preserve"> </w:t>
      </w:r>
    </w:p>
    <w:p w14:paraId="0F747AC7" w14:textId="35767FAF"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lastRenderedPageBreak/>
        <w:t xml:space="preserve">An excellent example of this approach is </w:t>
      </w:r>
      <w:proofErr w:type="gramStart"/>
      <w:r w:rsidRPr="00795465">
        <w:rPr>
          <w:rFonts w:ascii="Arial" w:eastAsia="Encode Sans" w:hAnsi="Arial" w:cs="Arial"/>
          <w:color w:val="333333"/>
        </w:rPr>
        <w:t>an Alzheimer</w:t>
      </w:r>
      <w:proofErr w:type="gramEnd"/>
      <w:r w:rsidRPr="00795465">
        <w:rPr>
          <w:rFonts w:ascii="Arial" w:eastAsia="Encode Sans" w:hAnsi="Arial" w:cs="Arial"/>
          <w:color w:val="333333"/>
        </w:rPr>
        <w:t xml:space="preserve"> awareness campaign that tells the story of a grandfather and his grandson. Instead of presenting data or medical explanations, it invites viewers into a tender, familiar relationship: </w:t>
      </w:r>
    </w:p>
    <w:p w14:paraId="54B8BED7" w14:textId="0733AE87"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45DF2339" w14:textId="53F5D5B9" w:rsidR="2E6F3D13" w:rsidRPr="00795465" w:rsidRDefault="7ACCADD0" w:rsidP="00795465">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43FC195F" wp14:editId="1ACDA8D3">
            <wp:extent cx="3467100" cy="1838325"/>
            <wp:effectExtent l="0" t="0" r="0" b="0"/>
            <wp:docPr id="1692265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65787" name="Picture 1692265787"/>
                    <pic:cNvPicPr/>
                  </pic:nvPicPr>
                  <pic:blipFill>
                    <a:blip r:embed="rId13">
                      <a:extLst>
                        <a:ext uri="{28A0092B-C50C-407E-A947-70E740481C1C}">
                          <a14:useLocalDpi xmlns:a14="http://schemas.microsoft.com/office/drawing/2010/main"/>
                        </a:ext>
                      </a:extLst>
                    </a:blip>
                    <a:stretch>
                      <a:fillRect/>
                    </a:stretch>
                  </pic:blipFill>
                  <pic:spPr>
                    <a:xfrm>
                      <a:off x="0" y="0"/>
                      <a:ext cx="3467100" cy="1838325"/>
                    </a:xfrm>
                    <a:prstGeom prst="rect">
                      <a:avLst/>
                    </a:prstGeom>
                  </pic:spPr>
                </pic:pic>
              </a:graphicData>
            </a:graphic>
          </wp:inline>
        </w:drawing>
      </w:r>
    </w:p>
    <w:p w14:paraId="36AF25C3" w14:textId="6C3F7A14"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14">
        <w:r w:rsidRPr="00795465">
          <w:rPr>
            <w:rStyle w:val="Hipervnculo"/>
            <w:rFonts w:ascii="Arial" w:eastAsia="Encode Sans" w:hAnsi="Arial" w:cs="Arial"/>
            <w:i/>
            <w:iCs/>
            <w:color w:val="028287"/>
            <w:sz w:val="20"/>
            <w:szCs w:val="20"/>
          </w:rPr>
          <w:t xml:space="preserve"> Alzheimer Awareness Campaign – Fundación Reina Sofía</w:t>
        </w:r>
      </w:hyperlink>
    </w:p>
    <w:p w14:paraId="37D55B0E" w14:textId="37047DEA"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44A142ED" w14:textId="130FBD0C" w:rsidR="2E6F3D13" w:rsidRPr="00795465" w:rsidRDefault="7ACCADD0" w:rsidP="427BD94E">
      <w:pPr>
        <w:pStyle w:val="Ttulo3"/>
        <w:numPr>
          <w:ilvl w:val="0"/>
          <w:numId w:val="9"/>
        </w:numPr>
        <w:shd w:val="clear" w:color="auto" w:fill="FFFFFF" w:themeFill="background1"/>
        <w:spacing w:before="0" w:after="150" w:line="276" w:lineRule="auto"/>
        <w:ind w:left="300"/>
        <w:jc w:val="both"/>
        <w:rPr>
          <w:rFonts w:ascii="Arial" w:eastAsia="Helvetica" w:hAnsi="Arial" w:cs="Arial"/>
          <w:b/>
          <w:bCs/>
          <w:caps/>
          <w:color w:val="0A4149"/>
        </w:rPr>
      </w:pPr>
      <w:proofErr w:type="gramStart"/>
      <w:r w:rsidRPr="00795465">
        <w:rPr>
          <w:rFonts w:ascii="Arial" w:eastAsia="Helvetica" w:hAnsi="Arial" w:cs="Arial"/>
          <w:b/>
          <w:bCs/>
          <w:caps/>
          <w:color w:val="0A4149"/>
        </w:rPr>
        <w:t>Frame</w:t>
      </w:r>
      <w:proofErr w:type="gramEnd"/>
      <w:r w:rsidRPr="00795465">
        <w:rPr>
          <w:rFonts w:ascii="Arial" w:eastAsia="Helvetica" w:hAnsi="Arial" w:cs="Arial"/>
          <w:b/>
          <w:bCs/>
          <w:caps/>
          <w:color w:val="0A4149"/>
        </w:rPr>
        <w:t xml:space="preserve"> the Problem, But Don’t Stop There</w:t>
      </w:r>
    </w:p>
    <w:p w14:paraId="51F93386" w14:textId="7FE0FD7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Awareness without direction often leads to paralysis. </w:t>
      </w:r>
    </w:p>
    <w:p w14:paraId="3FF2767B" w14:textId="52008ADB"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When people only hear about the severity of a problem (plastic waste, pollution, inequality, climate </w:t>
      </w:r>
      <w:proofErr w:type="gramStart"/>
      <w:r w:rsidRPr="00795465">
        <w:rPr>
          <w:rFonts w:ascii="Arial" w:eastAsia="Encode Sans" w:hAnsi="Arial" w:cs="Arial"/>
          <w:color w:val="333333"/>
        </w:rPr>
        <w:t>impacts)  the</w:t>
      </w:r>
      <w:proofErr w:type="gramEnd"/>
      <w:r w:rsidRPr="00795465">
        <w:rPr>
          <w:rFonts w:ascii="Arial" w:eastAsia="Encode Sans" w:hAnsi="Arial" w:cs="Arial"/>
          <w:color w:val="333333"/>
        </w:rPr>
        <w:t xml:space="preserve"> natural response can be to shut down. If everything feels too big, too urgent or too complex, it becomes easier to </w:t>
      </w:r>
      <w:proofErr w:type="gramStart"/>
      <w:r w:rsidRPr="00795465">
        <w:rPr>
          <w:rFonts w:ascii="Arial" w:eastAsia="Encode Sans" w:hAnsi="Arial" w:cs="Arial"/>
          <w:color w:val="333333"/>
        </w:rPr>
        <w:t>look</w:t>
      </w:r>
      <w:proofErr w:type="gramEnd"/>
      <w:r w:rsidRPr="00795465">
        <w:rPr>
          <w:rFonts w:ascii="Arial" w:eastAsia="Encode Sans" w:hAnsi="Arial" w:cs="Arial"/>
          <w:color w:val="333333"/>
        </w:rPr>
        <w:t xml:space="preserve"> away. </w:t>
      </w:r>
    </w:p>
    <w:p w14:paraId="74EBE920" w14:textId="061230A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That’s why impactful campaigns go beyond simply exposing the issue. They create a sense of orientation and possibility. They: </w:t>
      </w:r>
      <w:r w:rsidRPr="00795465">
        <w:rPr>
          <w:rFonts w:ascii="Arial" w:eastAsia="Encode Sans" w:hAnsi="Arial" w:cs="Arial"/>
          <w:b/>
          <w:bCs/>
          <w:color w:val="333333"/>
        </w:rPr>
        <w:t xml:space="preserve">name the challenge, </w:t>
      </w:r>
      <w:proofErr w:type="gramStart"/>
      <w:r w:rsidRPr="00795465">
        <w:rPr>
          <w:rFonts w:ascii="Arial" w:eastAsia="Encode Sans" w:hAnsi="Arial" w:cs="Arial"/>
          <w:b/>
          <w:bCs/>
          <w:color w:val="333333"/>
        </w:rPr>
        <w:t>show</w:t>
      </w:r>
      <w:proofErr w:type="gramEnd"/>
      <w:r w:rsidRPr="00795465">
        <w:rPr>
          <w:rFonts w:ascii="Arial" w:eastAsia="Encode Sans" w:hAnsi="Arial" w:cs="Arial"/>
          <w:b/>
          <w:bCs/>
          <w:color w:val="333333"/>
        </w:rPr>
        <w:t xml:space="preserve"> that solutions exist, make people feel that change is genuinely possible</w:t>
      </w:r>
      <w:r w:rsidRPr="00795465">
        <w:rPr>
          <w:rFonts w:ascii="Arial" w:eastAsia="Encode Sans" w:hAnsi="Arial" w:cs="Arial"/>
          <w:color w:val="333333"/>
        </w:rPr>
        <w:t xml:space="preserve"> </w:t>
      </w:r>
    </w:p>
    <w:p w14:paraId="5A038836" w14:textId="4C389E9A"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When communication stops at the problem, it discourages. When it includes a path forward, it empowers. </w:t>
      </w:r>
    </w:p>
    <w:p w14:paraId="611485FE" w14:textId="06046139"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b/>
          <w:bCs/>
          <w:color w:val="333333"/>
        </w:rPr>
        <w:t>Possibility is a powerful motivator</w:t>
      </w:r>
      <w:r w:rsidRPr="00795465">
        <w:rPr>
          <w:rFonts w:ascii="Arial" w:eastAsia="Encode Sans" w:hAnsi="Arial" w:cs="Arial"/>
          <w:color w:val="333333"/>
        </w:rPr>
        <w:t xml:space="preserve">. </w:t>
      </w:r>
    </w:p>
    <w:p w14:paraId="478CB668" w14:textId="76CF8C86"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An example of this is Keep Britain Tidy’s campaign </w:t>
      </w:r>
      <w:r w:rsidRPr="00795465">
        <w:rPr>
          <w:rFonts w:ascii="Arial" w:eastAsia="Encode Sans" w:hAnsi="Arial" w:cs="Arial"/>
          <w:i/>
          <w:iCs/>
          <w:color w:val="333333"/>
        </w:rPr>
        <w:t>It Only Takes One</w:t>
      </w:r>
      <w:r w:rsidRPr="00795465">
        <w:rPr>
          <w:rFonts w:ascii="Arial" w:eastAsia="Encode Sans" w:hAnsi="Arial" w:cs="Arial"/>
          <w:color w:val="333333"/>
        </w:rPr>
        <w:t xml:space="preserve">. The video presents the issue of littering in a way that feels familiar and overwhelming but quickly shifts the narrative to a </w:t>
      </w:r>
      <w:proofErr w:type="gramStart"/>
      <w:r w:rsidRPr="00795465">
        <w:rPr>
          <w:rFonts w:ascii="Arial" w:eastAsia="Encode Sans" w:hAnsi="Arial" w:cs="Arial"/>
          <w:color w:val="333333"/>
        </w:rPr>
        <w:t>single</w:t>
      </w:r>
      <w:proofErr w:type="gramEnd"/>
      <w:r w:rsidRPr="00795465">
        <w:rPr>
          <w:rFonts w:ascii="Arial" w:eastAsia="Encode Sans" w:hAnsi="Arial" w:cs="Arial"/>
          <w:color w:val="333333"/>
        </w:rPr>
        <w:t xml:space="preserve"> achievable action: one person choosing to act can trigger a chain reaction. It transforms a large social problem into something people can influence, showing that change starts with the simplest step: </w:t>
      </w:r>
    </w:p>
    <w:p w14:paraId="45A1FC46" w14:textId="7A11B8E8"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1CE5043F" w14:textId="08164B81" w:rsidR="2E6F3D13" w:rsidRPr="00795465" w:rsidRDefault="7ACCADD0" w:rsidP="00795465">
      <w:pPr>
        <w:shd w:val="clear" w:color="auto" w:fill="FFFFFF" w:themeFill="background1"/>
        <w:spacing w:after="150" w:line="276" w:lineRule="auto"/>
        <w:jc w:val="center"/>
        <w:rPr>
          <w:rFonts w:ascii="Arial" w:hAnsi="Arial" w:cs="Arial"/>
        </w:rPr>
      </w:pPr>
      <w:r w:rsidRPr="00795465">
        <w:rPr>
          <w:rFonts w:ascii="Arial" w:hAnsi="Arial" w:cs="Arial"/>
          <w:noProof/>
        </w:rPr>
        <w:lastRenderedPageBreak/>
        <w:drawing>
          <wp:inline distT="0" distB="0" distL="0" distR="0" wp14:anchorId="5E3C700A" wp14:editId="18B3C4F4">
            <wp:extent cx="3781425" cy="1981200"/>
            <wp:effectExtent l="0" t="0" r="0" b="0"/>
            <wp:docPr id="394674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74604" name="Picture 394674604"/>
                    <pic:cNvPicPr/>
                  </pic:nvPicPr>
                  <pic:blipFill>
                    <a:blip r:embed="rId15">
                      <a:extLst>
                        <a:ext uri="{28A0092B-C50C-407E-A947-70E740481C1C}">
                          <a14:useLocalDpi xmlns:a14="http://schemas.microsoft.com/office/drawing/2010/main"/>
                        </a:ext>
                      </a:extLst>
                    </a:blip>
                    <a:stretch>
                      <a:fillRect/>
                    </a:stretch>
                  </pic:blipFill>
                  <pic:spPr>
                    <a:xfrm>
                      <a:off x="0" y="0"/>
                      <a:ext cx="3781425" cy="1981200"/>
                    </a:xfrm>
                    <a:prstGeom prst="rect">
                      <a:avLst/>
                    </a:prstGeom>
                  </pic:spPr>
                </pic:pic>
              </a:graphicData>
            </a:graphic>
          </wp:inline>
        </w:drawing>
      </w:r>
    </w:p>
    <w:p w14:paraId="229DC7EF" w14:textId="53E73672"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16">
        <w:r w:rsidRPr="00795465">
          <w:rPr>
            <w:rStyle w:val="Hipervnculo"/>
            <w:rFonts w:ascii="Arial" w:eastAsia="Encode Sans" w:hAnsi="Arial" w:cs="Arial"/>
            <w:i/>
            <w:iCs/>
            <w:color w:val="028287"/>
            <w:sz w:val="20"/>
            <w:szCs w:val="20"/>
          </w:rPr>
          <w:t>It only takes one – Keep Britain Tidy Campaign</w:t>
        </w:r>
      </w:hyperlink>
    </w:p>
    <w:p w14:paraId="53362675" w14:textId="0E729BB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16320B08" w14:textId="2B3B4836" w:rsidR="2E6F3D13" w:rsidRPr="00795465" w:rsidRDefault="7ACCADD0" w:rsidP="427BD94E">
      <w:pPr>
        <w:pStyle w:val="Ttulo3"/>
        <w:numPr>
          <w:ilvl w:val="0"/>
          <w:numId w:val="8"/>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Use Concrete, Everyday Language</w:t>
      </w:r>
    </w:p>
    <w:p w14:paraId="2BFA4A54" w14:textId="172D45B3"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Concepts like “circular economy,” “value-chain transformation” or “upstream interventions” are important, but on their own, they rarely connect with people’s daily lives. For most audiences, these terms feel distant, technical, or even intimidating. </w:t>
      </w:r>
    </w:p>
    <w:p w14:paraId="2B5F7E39" w14:textId="1DBC095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Awareness grows when NGOs translate complexity into something people can </w:t>
      </w:r>
      <w:r w:rsidRPr="00795465">
        <w:rPr>
          <w:rFonts w:ascii="Arial" w:eastAsia="Encode Sans" w:hAnsi="Arial" w:cs="Arial"/>
          <w:b/>
          <w:bCs/>
          <w:color w:val="333333"/>
        </w:rPr>
        <w:t>relate to</w:t>
      </w:r>
      <w:r w:rsidRPr="00795465">
        <w:rPr>
          <w:rFonts w:ascii="Arial" w:eastAsia="Encode Sans" w:hAnsi="Arial" w:cs="Arial"/>
          <w:color w:val="333333"/>
        </w:rPr>
        <w:t xml:space="preserve">, something that speaks to their routines, concerns and decisions. </w:t>
      </w:r>
      <w:r w:rsidRPr="00795465">
        <w:rPr>
          <w:rFonts w:ascii="Arial" w:eastAsia="Encode Sans" w:hAnsi="Arial" w:cs="Arial"/>
          <w:b/>
          <w:bCs/>
          <w:color w:val="333333"/>
        </w:rPr>
        <w:t>Clarity is an act of care.</w:t>
      </w:r>
      <w:r w:rsidRPr="00795465">
        <w:rPr>
          <w:rFonts w:ascii="Arial" w:eastAsia="Encode Sans" w:hAnsi="Arial" w:cs="Arial"/>
          <w:color w:val="333333"/>
        </w:rPr>
        <w:t xml:space="preserve"> </w:t>
      </w:r>
    </w:p>
    <w:p w14:paraId="412A07C6" w14:textId="151DE6B5"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 great example of this is the short </w:t>
      </w:r>
      <w:proofErr w:type="gramStart"/>
      <w:r w:rsidRPr="00795465">
        <w:rPr>
          <w:rFonts w:ascii="Arial" w:eastAsia="Encode Sans" w:hAnsi="Arial" w:cs="Arial"/>
          <w:color w:val="333333"/>
        </w:rPr>
        <w:t>film</w:t>
      </w:r>
      <w:proofErr w:type="gramEnd"/>
      <w:r w:rsidRPr="00795465">
        <w:rPr>
          <w:rFonts w:ascii="Arial" w:eastAsia="Encode Sans" w:hAnsi="Arial" w:cs="Arial"/>
          <w:color w:val="333333"/>
        </w:rPr>
        <w:t xml:space="preserve"> Pequeñeces, created in the Comunidad Valenciana to promote local commerce. The message is direct, emotional and instantly clear: supporting your local shopkeepers matters, and it matters today. No complicated explanations, just a simple idea told in a way anyone can grasp.  </w:t>
      </w:r>
    </w:p>
    <w:p w14:paraId="65592977" w14:textId="28DFF71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46107517" w14:textId="77777777" w:rsidR="00795465" w:rsidRDefault="7ACCADD0" w:rsidP="427BD94E">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323E7BD8" wp14:editId="5C761876">
            <wp:extent cx="3457575" cy="2295525"/>
            <wp:effectExtent l="0" t="0" r="0" b="0"/>
            <wp:docPr id="1539464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64224" name="Picture 1539464224"/>
                    <pic:cNvPicPr/>
                  </pic:nvPicPr>
                  <pic:blipFill>
                    <a:blip r:embed="rId17">
                      <a:extLst>
                        <a:ext uri="{28A0092B-C50C-407E-A947-70E740481C1C}">
                          <a14:useLocalDpi xmlns:a14="http://schemas.microsoft.com/office/drawing/2010/main"/>
                        </a:ext>
                      </a:extLst>
                    </a:blip>
                    <a:stretch>
                      <a:fillRect/>
                    </a:stretch>
                  </pic:blipFill>
                  <pic:spPr>
                    <a:xfrm>
                      <a:off x="0" y="0"/>
                      <a:ext cx="3457575" cy="2295525"/>
                    </a:xfrm>
                    <a:prstGeom prst="rect">
                      <a:avLst/>
                    </a:prstGeom>
                  </pic:spPr>
                </pic:pic>
              </a:graphicData>
            </a:graphic>
          </wp:inline>
        </w:drawing>
      </w:r>
      <w:hyperlink r:id="rId18">
        <w:r w:rsidRPr="00795465">
          <w:rPr>
            <w:rStyle w:val="Hipervnculo"/>
            <w:rFonts w:ascii="Arial" w:eastAsia="Encode Sans" w:hAnsi="Arial" w:cs="Arial"/>
            <w:color w:val="028287"/>
          </w:rPr>
          <w:t xml:space="preserve"> </w:t>
        </w:r>
      </w:hyperlink>
    </w:p>
    <w:p w14:paraId="143DB781" w14:textId="0FB24BBE"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19">
        <w:r w:rsidRPr="00795465">
          <w:rPr>
            <w:rStyle w:val="Hipervnculo"/>
            <w:rFonts w:ascii="Arial" w:eastAsia="Encode Sans" w:hAnsi="Arial" w:cs="Arial"/>
            <w:i/>
            <w:iCs/>
            <w:color w:val="028287"/>
            <w:sz w:val="20"/>
            <w:szCs w:val="20"/>
          </w:rPr>
          <w:t xml:space="preserve">Pequeñeces – </w:t>
        </w:r>
        <w:proofErr w:type="spellStart"/>
        <w:r w:rsidRPr="00795465">
          <w:rPr>
            <w:rStyle w:val="Hipervnculo"/>
            <w:rFonts w:ascii="Arial" w:eastAsia="Encode Sans" w:hAnsi="Arial" w:cs="Arial"/>
            <w:i/>
            <w:iCs/>
            <w:color w:val="028287"/>
            <w:sz w:val="20"/>
            <w:szCs w:val="20"/>
          </w:rPr>
          <w:t>Confederació</w:t>
        </w:r>
        <w:proofErr w:type="spellEnd"/>
        <w:r w:rsidRPr="00795465">
          <w:rPr>
            <w:rStyle w:val="Hipervnculo"/>
            <w:rFonts w:ascii="Arial" w:eastAsia="Encode Sans" w:hAnsi="Arial" w:cs="Arial"/>
            <w:i/>
            <w:iCs/>
            <w:color w:val="028287"/>
            <w:sz w:val="20"/>
            <w:szCs w:val="20"/>
          </w:rPr>
          <w:t xml:space="preserve"> de </w:t>
        </w:r>
        <w:proofErr w:type="spellStart"/>
        <w:r w:rsidRPr="00795465">
          <w:rPr>
            <w:rStyle w:val="Hipervnculo"/>
            <w:rFonts w:ascii="Arial" w:eastAsia="Encode Sans" w:hAnsi="Arial" w:cs="Arial"/>
            <w:i/>
            <w:iCs/>
            <w:color w:val="028287"/>
            <w:sz w:val="20"/>
            <w:szCs w:val="20"/>
          </w:rPr>
          <w:t>Comerç</w:t>
        </w:r>
        <w:proofErr w:type="spellEnd"/>
        <w:r w:rsidRPr="00795465">
          <w:rPr>
            <w:rStyle w:val="Hipervnculo"/>
            <w:rFonts w:ascii="Arial" w:eastAsia="Encode Sans" w:hAnsi="Arial" w:cs="Arial"/>
            <w:i/>
            <w:iCs/>
            <w:color w:val="028287"/>
            <w:sz w:val="20"/>
            <w:szCs w:val="20"/>
          </w:rPr>
          <w:t xml:space="preserve"> de la CV</w:t>
        </w:r>
      </w:hyperlink>
    </w:p>
    <w:p w14:paraId="6AA46CC7" w14:textId="4F125A9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6873A689" w14:textId="1AE34B71" w:rsidR="2E6F3D13" w:rsidRPr="00795465" w:rsidRDefault="7ACCADD0" w:rsidP="427BD94E">
      <w:pPr>
        <w:pStyle w:val="Ttulo3"/>
        <w:numPr>
          <w:ilvl w:val="0"/>
          <w:numId w:val="7"/>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lastRenderedPageBreak/>
        <w:t>Offer One Clear Action</w:t>
      </w:r>
    </w:p>
    <w:p w14:paraId="0D4DD022" w14:textId="1E7AFA80"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When people feel overwhelmed, they freeze. </w:t>
      </w:r>
    </w:p>
    <w:p w14:paraId="795BEDE3" w14:textId="72FA060D"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If a message ends with a long list of instructions or too many requests, the easiest response is to do nothing. </w:t>
      </w:r>
    </w:p>
    <w:p w14:paraId="6A53958F" w14:textId="6DF9C415"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That’s why effective campaigns focus on </w:t>
      </w:r>
      <w:r w:rsidRPr="00795465">
        <w:rPr>
          <w:rFonts w:ascii="Arial" w:eastAsia="Encode Sans" w:hAnsi="Arial" w:cs="Arial"/>
          <w:b/>
          <w:bCs/>
          <w:color w:val="333333"/>
        </w:rPr>
        <w:t>one simple, concrete action</w:t>
      </w:r>
      <w:r w:rsidRPr="00795465">
        <w:rPr>
          <w:rFonts w:ascii="Arial" w:eastAsia="Encode Sans" w:hAnsi="Arial" w:cs="Arial"/>
          <w:color w:val="333333"/>
        </w:rPr>
        <w:t>.</w:t>
      </w:r>
      <w:r w:rsidR="2E6F3D13" w:rsidRPr="00795465">
        <w:rPr>
          <w:rFonts w:ascii="Arial" w:hAnsi="Arial" w:cs="Arial"/>
        </w:rPr>
        <w:br/>
      </w:r>
      <w:r w:rsidRPr="00795465">
        <w:rPr>
          <w:rFonts w:ascii="Arial" w:eastAsia="Encode Sans" w:hAnsi="Arial" w:cs="Arial"/>
          <w:color w:val="333333"/>
        </w:rPr>
        <w:t xml:space="preserve">Just one. Something realistic, accessible and easy to understand. When the next step feels achievable, people are far more likely to take it, and that first step often opens the door to deeper engagement. </w:t>
      </w:r>
    </w:p>
    <w:p w14:paraId="273C63C6" w14:textId="63C315B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 great illustration of this principle is the campaign </w:t>
      </w:r>
      <w:r w:rsidRPr="00795465">
        <w:rPr>
          <w:rFonts w:ascii="Arial" w:eastAsia="Encode Sans" w:hAnsi="Arial" w:cs="Arial"/>
          <w:i/>
          <w:iCs/>
          <w:color w:val="333333"/>
        </w:rPr>
        <w:t>Ring the Bell</w:t>
      </w:r>
      <w:r w:rsidRPr="00795465">
        <w:rPr>
          <w:rFonts w:ascii="Arial" w:eastAsia="Encode Sans" w:hAnsi="Arial" w:cs="Arial"/>
          <w:color w:val="333333"/>
        </w:rPr>
        <w:t xml:space="preserve"> against domestic violence. Instead of overwhelming viewers, it offers a </w:t>
      </w:r>
      <w:proofErr w:type="gramStart"/>
      <w:r w:rsidRPr="00795465">
        <w:rPr>
          <w:rFonts w:ascii="Arial" w:eastAsia="Encode Sans" w:hAnsi="Arial" w:cs="Arial"/>
          <w:color w:val="333333"/>
        </w:rPr>
        <w:t>single</w:t>
      </w:r>
      <w:proofErr w:type="gramEnd"/>
      <w:r w:rsidRPr="00795465">
        <w:rPr>
          <w:rFonts w:ascii="Arial" w:eastAsia="Encode Sans" w:hAnsi="Arial" w:cs="Arial"/>
          <w:color w:val="333333"/>
        </w:rPr>
        <w:t xml:space="preserve">, powerful action that anyone can take: ring a bell when you hear or see signs of abuse. The simplicity of that request is exactly what makes it effective: </w:t>
      </w:r>
    </w:p>
    <w:p w14:paraId="699CC242" w14:textId="19651E17"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3EED35AB" w14:textId="29BA57ED" w:rsidR="2E6F3D13" w:rsidRPr="00795465" w:rsidRDefault="7ACCADD0" w:rsidP="00795465">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30AC638E" wp14:editId="7EAD19C5">
            <wp:extent cx="4038600" cy="2533650"/>
            <wp:effectExtent l="0" t="0" r="0" b="0"/>
            <wp:docPr id="278840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40318" name="Picture 278840318"/>
                    <pic:cNvPicPr/>
                  </pic:nvPicPr>
                  <pic:blipFill>
                    <a:blip r:embed="rId20">
                      <a:extLst>
                        <a:ext uri="{28A0092B-C50C-407E-A947-70E740481C1C}">
                          <a14:useLocalDpi xmlns:a14="http://schemas.microsoft.com/office/drawing/2010/main"/>
                        </a:ext>
                      </a:extLst>
                    </a:blip>
                    <a:stretch>
                      <a:fillRect/>
                    </a:stretch>
                  </pic:blipFill>
                  <pic:spPr>
                    <a:xfrm>
                      <a:off x="0" y="0"/>
                      <a:ext cx="4038600" cy="2533650"/>
                    </a:xfrm>
                    <a:prstGeom prst="rect">
                      <a:avLst/>
                    </a:prstGeom>
                  </pic:spPr>
                </pic:pic>
              </a:graphicData>
            </a:graphic>
          </wp:inline>
        </w:drawing>
      </w:r>
    </w:p>
    <w:p w14:paraId="6AD88124" w14:textId="514111AD"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21">
        <w:r w:rsidRPr="00795465">
          <w:rPr>
            <w:rStyle w:val="Hipervnculo"/>
            <w:rFonts w:ascii="Arial" w:eastAsia="Encode Sans" w:hAnsi="Arial" w:cs="Arial"/>
            <w:i/>
            <w:iCs/>
            <w:color w:val="028287"/>
            <w:sz w:val="20"/>
            <w:szCs w:val="20"/>
          </w:rPr>
          <w:t>Ring the Bell – Breakthrough Campaign</w:t>
        </w:r>
      </w:hyperlink>
    </w:p>
    <w:p w14:paraId="30BD7362" w14:textId="4EBBD878"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43315D4A" w14:textId="54661921" w:rsidR="2E6F3D13" w:rsidRPr="00795465" w:rsidRDefault="7ACCADD0" w:rsidP="427BD94E">
      <w:pPr>
        <w:pStyle w:val="Ttulo3"/>
        <w:numPr>
          <w:ilvl w:val="0"/>
          <w:numId w:val="6"/>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Keep the Dialogue Open</w:t>
      </w:r>
    </w:p>
    <w:p w14:paraId="3D8BC692" w14:textId="09CA1A8F"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Awareness is not a monologue, </w:t>
      </w:r>
      <w:r w:rsidRPr="00795465">
        <w:rPr>
          <w:rFonts w:ascii="Arial" w:eastAsia="Encode Sans" w:hAnsi="Arial" w:cs="Arial"/>
          <w:b/>
          <w:bCs/>
          <w:color w:val="333333"/>
        </w:rPr>
        <w:t>it’s a conversation</w:t>
      </w:r>
      <w:r w:rsidRPr="00795465">
        <w:rPr>
          <w:rFonts w:ascii="Arial" w:eastAsia="Encode Sans" w:hAnsi="Arial" w:cs="Arial"/>
          <w:color w:val="333333"/>
        </w:rPr>
        <w:t xml:space="preserve">. </w:t>
      </w:r>
    </w:p>
    <w:p w14:paraId="1547D411" w14:textId="5EF9A8A6"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If communication only flows in one direction, NGOs risk sounding like unquestionable experts delivering absolute truths. But real life isn’t that simple. A message that seems obvious to one person may feel unrealistic or irrelevant to another. </w:t>
      </w:r>
    </w:p>
    <w:p w14:paraId="05D89747" w14:textId="01C85D19"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That’s why </w:t>
      </w:r>
      <w:r w:rsidRPr="00795465">
        <w:rPr>
          <w:rFonts w:ascii="Arial" w:eastAsia="Encode Sans" w:hAnsi="Arial" w:cs="Arial"/>
          <w:b/>
          <w:bCs/>
          <w:color w:val="333333"/>
        </w:rPr>
        <w:t>listening is just as important as informing</w:t>
      </w:r>
      <w:r w:rsidRPr="00795465">
        <w:rPr>
          <w:rFonts w:ascii="Arial" w:eastAsia="Encode Sans" w:hAnsi="Arial" w:cs="Arial"/>
          <w:color w:val="333333"/>
        </w:rPr>
        <w:t xml:space="preserve">. </w:t>
      </w:r>
    </w:p>
    <w:p w14:paraId="1C1EEACA" w14:textId="157DC0A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Keeping the dialogue open means creating space for questions, doubts, suggestions and personal stories. That’s why opening channels for direct contact (whether through surveys, hotdesks, feedback forms or community spaces) helps NGOs understand </w:t>
      </w:r>
      <w:r w:rsidRPr="00795465">
        <w:rPr>
          <w:rFonts w:ascii="Arial" w:eastAsia="Encode Sans" w:hAnsi="Arial" w:cs="Arial"/>
          <w:color w:val="333333"/>
        </w:rPr>
        <w:lastRenderedPageBreak/>
        <w:t xml:space="preserve">what truly matters to their audience. It transforms campaigns from one-way broadcasts into shared problem-solving. </w:t>
      </w:r>
    </w:p>
    <w:p w14:paraId="4C11A044" w14:textId="2650A3FC"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 powerful example of this approach is Amnesty International’s global campaign </w:t>
      </w:r>
      <w:r w:rsidRPr="00795465">
        <w:rPr>
          <w:rFonts w:ascii="Arial" w:eastAsia="Encode Sans" w:hAnsi="Arial" w:cs="Arial"/>
          <w:i/>
          <w:iCs/>
          <w:color w:val="333333"/>
        </w:rPr>
        <w:t>Write for Rights</w:t>
      </w:r>
      <w:r w:rsidRPr="00795465">
        <w:rPr>
          <w:rFonts w:ascii="Arial" w:eastAsia="Encode Sans" w:hAnsi="Arial" w:cs="Arial"/>
          <w:color w:val="333333"/>
        </w:rPr>
        <w:t xml:space="preserve">. Each year, people from around the world write letters to support individuals whose rights and freedoms are under threat, and they also write directly to authorities demanding protection and justice. The campaign </w:t>
      </w:r>
      <w:proofErr w:type="gramStart"/>
      <w:r w:rsidRPr="00795465">
        <w:rPr>
          <w:rFonts w:ascii="Arial" w:eastAsia="Encode Sans" w:hAnsi="Arial" w:cs="Arial"/>
          <w:color w:val="333333"/>
        </w:rPr>
        <w:t>shows</w:t>
      </w:r>
      <w:proofErr w:type="gramEnd"/>
      <w:r w:rsidRPr="00795465">
        <w:rPr>
          <w:rFonts w:ascii="Arial" w:eastAsia="Encode Sans" w:hAnsi="Arial" w:cs="Arial"/>
          <w:color w:val="333333"/>
        </w:rPr>
        <w:t xml:space="preserve"> how awareness becomes meaningful when people are invited to take part in the conversation and contribute with their own voice: </w:t>
      </w:r>
    </w:p>
    <w:p w14:paraId="147CD61D" w14:textId="3324BADB"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69EC4530" w14:textId="6542EBC5" w:rsidR="2E6F3D13" w:rsidRPr="00795465" w:rsidRDefault="7ACCADD0" w:rsidP="00795465">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786994E0" wp14:editId="1C24147A">
            <wp:extent cx="4419600" cy="2428875"/>
            <wp:effectExtent l="0" t="0" r="0" b="0"/>
            <wp:docPr id="19091308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30801" name="Picture 1909130801"/>
                    <pic:cNvPicPr/>
                  </pic:nvPicPr>
                  <pic:blipFill>
                    <a:blip r:embed="rId22">
                      <a:extLst>
                        <a:ext uri="{28A0092B-C50C-407E-A947-70E740481C1C}">
                          <a14:useLocalDpi xmlns:a14="http://schemas.microsoft.com/office/drawing/2010/main"/>
                        </a:ext>
                      </a:extLst>
                    </a:blip>
                    <a:stretch>
                      <a:fillRect/>
                    </a:stretch>
                  </pic:blipFill>
                  <pic:spPr>
                    <a:xfrm>
                      <a:off x="0" y="0"/>
                      <a:ext cx="4419600" cy="2428875"/>
                    </a:xfrm>
                    <a:prstGeom prst="rect">
                      <a:avLst/>
                    </a:prstGeom>
                  </pic:spPr>
                </pic:pic>
              </a:graphicData>
            </a:graphic>
          </wp:inline>
        </w:drawing>
      </w:r>
    </w:p>
    <w:p w14:paraId="5F04CE14" w14:textId="2C1A31B4"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23">
        <w:r w:rsidRPr="00795465">
          <w:rPr>
            <w:rStyle w:val="Hipervnculo"/>
            <w:rFonts w:ascii="Arial" w:eastAsia="Encode Sans" w:hAnsi="Arial" w:cs="Arial"/>
            <w:i/>
            <w:iCs/>
            <w:color w:val="028287"/>
            <w:sz w:val="20"/>
            <w:szCs w:val="20"/>
          </w:rPr>
          <w:t>Write for Rights – Amnesty International Campaign</w:t>
        </w:r>
      </w:hyperlink>
    </w:p>
    <w:p w14:paraId="1B46BE1E" w14:textId="3B2F9DC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782B8D2E" w14:textId="30BC56AD" w:rsidR="2E6F3D13" w:rsidRPr="00795465" w:rsidRDefault="7ACCADD0" w:rsidP="427BD94E">
      <w:pPr>
        <w:pStyle w:val="Ttulo3"/>
        <w:numPr>
          <w:ilvl w:val="0"/>
          <w:numId w:val="5"/>
        </w:numPr>
        <w:shd w:val="clear" w:color="auto" w:fill="FFFFFF" w:themeFill="background1"/>
        <w:spacing w:before="0" w:after="150" w:line="276" w:lineRule="auto"/>
        <w:ind w:left="300"/>
        <w:jc w:val="both"/>
        <w:rPr>
          <w:rFonts w:ascii="Arial" w:eastAsia="Helvetica" w:hAnsi="Arial" w:cs="Arial"/>
          <w:b/>
          <w:bCs/>
          <w:caps/>
          <w:color w:val="0A4149"/>
        </w:rPr>
      </w:pPr>
      <w:r w:rsidRPr="00795465">
        <w:rPr>
          <w:rFonts w:ascii="Arial" w:eastAsia="Helvetica" w:hAnsi="Arial" w:cs="Arial"/>
          <w:b/>
          <w:bCs/>
          <w:caps/>
          <w:color w:val="0A4149"/>
        </w:rPr>
        <w:t>Communicate With Ethics: No Victims, No Saviours</w:t>
      </w:r>
    </w:p>
    <w:p w14:paraId="58731C68" w14:textId="7E845135"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There is another essential dimension to effective NGO communication: </w:t>
      </w:r>
      <w:r w:rsidRPr="00795465">
        <w:rPr>
          <w:rFonts w:ascii="Arial" w:eastAsia="Encode Sans" w:hAnsi="Arial" w:cs="Arial"/>
          <w:b/>
          <w:bCs/>
          <w:color w:val="333333"/>
        </w:rPr>
        <w:t>ethics</w:t>
      </w:r>
      <w:r w:rsidRPr="00795465">
        <w:rPr>
          <w:rFonts w:ascii="Arial" w:eastAsia="Encode Sans" w:hAnsi="Arial" w:cs="Arial"/>
          <w:color w:val="333333"/>
        </w:rPr>
        <w:t xml:space="preserve">. </w:t>
      </w:r>
    </w:p>
    <w:p w14:paraId="398A2B27" w14:textId="03A7B53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Too often, awareness campaigns fall into two traps: </w:t>
      </w:r>
    </w:p>
    <w:p w14:paraId="16C8A77C" w14:textId="5764E511" w:rsidR="2E6F3D13" w:rsidRPr="00795465" w:rsidRDefault="7ACCADD0" w:rsidP="427BD94E">
      <w:pPr>
        <w:pStyle w:val="Prrafodelista"/>
        <w:numPr>
          <w:ilvl w:val="0"/>
          <w:numId w:val="4"/>
        </w:numPr>
        <w:shd w:val="clear" w:color="auto" w:fill="FFFFFF" w:themeFill="background1"/>
        <w:spacing w:after="0" w:line="276" w:lineRule="auto"/>
        <w:ind w:left="300"/>
        <w:jc w:val="both"/>
        <w:rPr>
          <w:rFonts w:ascii="Arial" w:eastAsia="Encode Sans" w:hAnsi="Arial" w:cs="Arial"/>
          <w:b/>
          <w:bCs/>
          <w:color w:val="333333"/>
        </w:rPr>
      </w:pPr>
      <w:r w:rsidRPr="00795465">
        <w:rPr>
          <w:rFonts w:ascii="Arial" w:eastAsia="Encode Sans" w:hAnsi="Arial" w:cs="Arial"/>
          <w:b/>
          <w:bCs/>
          <w:color w:val="333333"/>
        </w:rPr>
        <w:t>Victimising the people affected</w:t>
      </w:r>
    </w:p>
    <w:p w14:paraId="1512296E" w14:textId="597CF310"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Showing individuals or communities only through their suffering may get attention, but it strips them of agency. It reduces complex human experiences to a </w:t>
      </w:r>
      <w:proofErr w:type="gramStart"/>
      <w:r w:rsidRPr="00795465">
        <w:rPr>
          <w:rFonts w:ascii="Arial" w:eastAsia="Encode Sans" w:hAnsi="Arial" w:cs="Arial"/>
          <w:color w:val="333333"/>
        </w:rPr>
        <w:t>single</w:t>
      </w:r>
      <w:proofErr w:type="gramEnd"/>
      <w:r w:rsidRPr="00795465">
        <w:rPr>
          <w:rFonts w:ascii="Arial" w:eastAsia="Encode Sans" w:hAnsi="Arial" w:cs="Arial"/>
          <w:color w:val="333333"/>
        </w:rPr>
        <w:t xml:space="preserve"> image of helplessness, and that does not honour their dignity nor their resilience. </w:t>
      </w:r>
    </w:p>
    <w:p w14:paraId="2436E9A5" w14:textId="5A7BFBA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People are more than the problems they face. </w:t>
      </w:r>
    </w:p>
    <w:p w14:paraId="7A2950B0" w14:textId="102ACF9A"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Ethical communication </w:t>
      </w:r>
      <w:proofErr w:type="gramStart"/>
      <w:r w:rsidRPr="00795465">
        <w:rPr>
          <w:rFonts w:ascii="Arial" w:eastAsia="Encode Sans" w:hAnsi="Arial" w:cs="Arial"/>
          <w:color w:val="333333"/>
        </w:rPr>
        <w:t>shows</w:t>
      </w:r>
      <w:proofErr w:type="gramEnd"/>
      <w:r w:rsidRPr="00795465">
        <w:rPr>
          <w:rFonts w:ascii="Arial" w:eastAsia="Encode Sans" w:hAnsi="Arial" w:cs="Arial"/>
          <w:color w:val="333333"/>
        </w:rPr>
        <w:t xml:space="preserve"> challenges </w:t>
      </w:r>
      <w:r w:rsidRPr="00795465">
        <w:rPr>
          <w:rFonts w:ascii="Arial" w:eastAsia="Encode Sans" w:hAnsi="Arial" w:cs="Arial"/>
          <w:i/>
          <w:iCs/>
          <w:color w:val="333333"/>
        </w:rPr>
        <w:t>and</w:t>
      </w:r>
      <w:r w:rsidRPr="00795465">
        <w:rPr>
          <w:rFonts w:ascii="Arial" w:eastAsia="Encode Sans" w:hAnsi="Arial" w:cs="Arial"/>
          <w:color w:val="333333"/>
        </w:rPr>
        <w:t xml:space="preserve"> strength, barriers </w:t>
      </w:r>
      <w:r w:rsidRPr="00795465">
        <w:rPr>
          <w:rFonts w:ascii="Arial" w:eastAsia="Encode Sans" w:hAnsi="Arial" w:cs="Arial"/>
          <w:i/>
          <w:iCs/>
          <w:color w:val="333333"/>
        </w:rPr>
        <w:t>and</w:t>
      </w:r>
      <w:r w:rsidRPr="00795465">
        <w:rPr>
          <w:rFonts w:ascii="Arial" w:eastAsia="Encode Sans" w:hAnsi="Arial" w:cs="Arial"/>
          <w:color w:val="333333"/>
        </w:rPr>
        <w:t xml:space="preserve"> efforts, difficulties </w:t>
      </w:r>
      <w:r w:rsidRPr="00795465">
        <w:rPr>
          <w:rFonts w:ascii="Arial" w:eastAsia="Encode Sans" w:hAnsi="Arial" w:cs="Arial"/>
          <w:i/>
          <w:iCs/>
          <w:color w:val="333333"/>
        </w:rPr>
        <w:t>and</w:t>
      </w:r>
      <w:r w:rsidRPr="00795465">
        <w:rPr>
          <w:rFonts w:ascii="Arial" w:eastAsia="Encode Sans" w:hAnsi="Arial" w:cs="Arial"/>
          <w:color w:val="333333"/>
        </w:rPr>
        <w:t xml:space="preserve"> the capacity to act. </w:t>
      </w:r>
    </w:p>
    <w:p w14:paraId="2E55CAEA" w14:textId="36580BAD" w:rsidR="2E6F3D13" w:rsidRPr="00795465" w:rsidRDefault="7ACCADD0" w:rsidP="427BD94E">
      <w:pPr>
        <w:pStyle w:val="Prrafodelista"/>
        <w:numPr>
          <w:ilvl w:val="0"/>
          <w:numId w:val="3"/>
        </w:numPr>
        <w:shd w:val="clear" w:color="auto" w:fill="FFFFFF" w:themeFill="background1"/>
        <w:spacing w:after="0" w:line="276" w:lineRule="auto"/>
        <w:ind w:left="300"/>
        <w:jc w:val="both"/>
        <w:rPr>
          <w:rFonts w:ascii="Arial" w:eastAsia="Encode Sans" w:hAnsi="Arial" w:cs="Arial"/>
          <w:b/>
          <w:bCs/>
          <w:color w:val="333333"/>
        </w:rPr>
      </w:pPr>
      <w:r w:rsidRPr="00795465">
        <w:rPr>
          <w:rFonts w:ascii="Arial" w:eastAsia="Encode Sans" w:hAnsi="Arial" w:cs="Arial"/>
          <w:b/>
          <w:bCs/>
          <w:color w:val="333333"/>
        </w:rPr>
        <w:t>Slipping into the “white saviour” narrative</w:t>
      </w:r>
    </w:p>
    <w:p w14:paraId="72B449A6" w14:textId="3C2CE6D2"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Another trap is framing the NGO (or those funding or leading it) as the heroic rescuer of passive communities. </w:t>
      </w:r>
    </w:p>
    <w:p w14:paraId="6BF3352C" w14:textId="04BE8BD6"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The goal of awareness is not to </w:t>
      </w:r>
      <w:proofErr w:type="gramStart"/>
      <w:r w:rsidRPr="00795465">
        <w:rPr>
          <w:rFonts w:ascii="Arial" w:eastAsia="Encode Sans" w:hAnsi="Arial" w:cs="Arial"/>
          <w:color w:val="333333"/>
        </w:rPr>
        <w:t>show</w:t>
      </w:r>
      <w:proofErr w:type="gramEnd"/>
      <w:r w:rsidRPr="00795465">
        <w:rPr>
          <w:rFonts w:ascii="Arial" w:eastAsia="Encode Sans" w:hAnsi="Arial" w:cs="Arial"/>
          <w:color w:val="333333"/>
        </w:rPr>
        <w:t xml:space="preserve"> who saves whom. </w:t>
      </w:r>
    </w:p>
    <w:p w14:paraId="3035DA06" w14:textId="249CC864"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lastRenderedPageBreak/>
        <w:t xml:space="preserve">It is to </w:t>
      </w:r>
      <w:proofErr w:type="gramStart"/>
      <w:r w:rsidRPr="00795465">
        <w:rPr>
          <w:rFonts w:ascii="Arial" w:eastAsia="Encode Sans" w:hAnsi="Arial" w:cs="Arial"/>
          <w:color w:val="333333"/>
        </w:rPr>
        <w:t>show</w:t>
      </w:r>
      <w:proofErr w:type="gramEnd"/>
      <w:r w:rsidRPr="00795465">
        <w:rPr>
          <w:rFonts w:ascii="Arial" w:eastAsia="Encode Sans" w:hAnsi="Arial" w:cs="Arial"/>
          <w:color w:val="333333"/>
        </w:rPr>
        <w:t xml:space="preserve"> </w:t>
      </w:r>
      <w:r w:rsidRPr="00795465">
        <w:rPr>
          <w:rFonts w:ascii="Arial" w:eastAsia="Encode Sans" w:hAnsi="Arial" w:cs="Arial"/>
          <w:b/>
          <w:bCs/>
          <w:color w:val="333333"/>
        </w:rPr>
        <w:t>how change happens when people, communities and organisations work together</w:t>
      </w:r>
      <w:r w:rsidRPr="00795465">
        <w:rPr>
          <w:rFonts w:ascii="Arial" w:eastAsia="Encode Sans" w:hAnsi="Arial" w:cs="Arial"/>
          <w:color w:val="333333"/>
        </w:rPr>
        <w:t xml:space="preserve">. </w:t>
      </w:r>
    </w:p>
    <w:p w14:paraId="41FD0120" w14:textId="1E1D6C72"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2AF062FE" w14:textId="0270BB68"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b/>
          <w:bCs/>
          <w:color w:val="333333"/>
        </w:rPr>
        <w:t xml:space="preserve">What ethical communication </w:t>
      </w:r>
      <w:proofErr w:type="gramStart"/>
      <w:r w:rsidRPr="00795465">
        <w:rPr>
          <w:rFonts w:ascii="Arial" w:eastAsia="Encode Sans" w:hAnsi="Arial" w:cs="Arial"/>
          <w:b/>
          <w:bCs/>
          <w:color w:val="333333"/>
        </w:rPr>
        <w:t>looks</w:t>
      </w:r>
      <w:proofErr w:type="gramEnd"/>
      <w:r w:rsidRPr="00795465">
        <w:rPr>
          <w:rFonts w:ascii="Arial" w:eastAsia="Encode Sans" w:hAnsi="Arial" w:cs="Arial"/>
          <w:b/>
          <w:bCs/>
          <w:color w:val="333333"/>
        </w:rPr>
        <w:t xml:space="preserve"> like</w:t>
      </w:r>
      <w:r w:rsidRPr="00795465">
        <w:rPr>
          <w:rFonts w:ascii="Arial" w:eastAsia="Encode Sans" w:hAnsi="Arial" w:cs="Arial"/>
          <w:color w:val="333333"/>
        </w:rPr>
        <w:t xml:space="preserve"> </w:t>
      </w:r>
    </w:p>
    <w:p w14:paraId="0423D5A5" w14:textId="18CF839C"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Ethical NGO messaging: </w:t>
      </w:r>
    </w:p>
    <w:p w14:paraId="541D7CD1" w14:textId="3F9A33E5" w:rsidR="2E6F3D13" w:rsidRPr="00795465" w:rsidRDefault="7ACCADD0" w:rsidP="427BD94E">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color w:val="333333"/>
        </w:rPr>
        <w:t xml:space="preserve">highlights agency instead of helplessness, </w:t>
      </w:r>
    </w:p>
    <w:p w14:paraId="44ACC8B1" w14:textId="46BD886A" w:rsidR="2E6F3D13" w:rsidRPr="00795465" w:rsidRDefault="7ACCADD0" w:rsidP="427BD94E">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color w:val="333333"/>
        </w:rPr>
        <w:t xml:space="preserve">centres the voices of those affected, </w:t>
      </w:r>
    </w:p>
    <w:p w14:paraId="729ABAEC" w14:textId="5F8F2246" w:rsidR="2E6F3D13" w:rsidRPr="00795465" w:rsidRDefault="7ACCADD0" w:rsidP="427BD94E">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proofErr w:type="gramStart"/>
      <w:r w:rsidRPr="00795465">
        <w:rPr>
          <w:rFonts w:ascii="Arial" w:eastAsia="Encode Sans" w:hAnsi="Arial" w:cs="Arial"/>
          <w:color w:val="333333"/>
        </w:rPr>
        <w:t>shows</w:t>
      </w:r>
      <w:proofErr w:type="gramEnd"/>
      <w:r w:rsidRPr="00795465">
        <w:rPr>
          <w:rFonts w:ascii="Arial" w:eastAsia="Encode Sans" w:hAnsi="Arial" w:cs="Arial"/>
          <w:color w:val="333333"/>
        </w:rPr>
        <w:t xml:space="preserve"> collaboration instead of rescue, </w:t>
      </w:r>
    </w:p>
    <w:p w14:paraId="759B6C92" w14:textId="58845F2B"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This creates deeper trust, and a form of awareness that empowers instead of exploiting emotions. </w:t>
      </w:r>
    </w:p>
    <w:p w14:paraId="1F1C3ADF" w14:textId="633A93E0"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An example of communicating with ethics is the satirical campaign, </w:t>
      </w:r>
      <w:r w:rsidRPr="00795465">
        <w:rPr>
          <w:rFonts w:ascii="Arial" w:eastAsia="Encode Sans" w:hAnsi="Arial" w:cs="Arial"/>
          <w:i/>
          <w:iCs/>
          <w:color w:val="333333"/>
        </w:rPr>
        <w:t>Soul Gym</w:t>
      </w:r>
      <w:r w:rsidRPr="00795465">
        <w:rPr>
          <w:rFonts w:ascii="Arial" w:eastAsia="Encode Sans" w:hAnsi="Arial" w:cs="Arial"/>
          <w:color w:val="333333"/>
        </w:rPr>
        <w:t xml:space="preserve">. In the video, viewers are invited to subscribe to an imaginary gym in Africa and are told that, just like with any gym membership, they will probably not </w:t>
      </w:r>
      <w:proofErr w:type="gramStart"/>
      <w:r w:rsidRPr="00795465">
        <w:rPr>
          <w:rFonts w:ascii="Arial" w:eastAsia="Encode Sans" w:hAnsi="Arial" w:cs="Arial"/>
          <w:color w:val="333333"/>
        </w:rPr>
        <w:t>show</w:t>
      </w:r>
      <w:proofErr w:type="gramEnd"/>
      <w:r w:rsidRPr="00795465">
        <w:rPr>
          <w:rFonts w:ascii="Arial" w:eastAsia="Encode Sans" w:hAnsi="Arial" w:cs="Arial"/>
          <w:color w:val="333333"/>
        </w:rPr>
        <w:t xml:space="preserve"> up, yet they will feel good about themselves because their subscription will be supporting Babies Uganda: </w:t>
      </w:r>
    </w:p>
    <w:p w14:paraId="52335FE2" w14:textId="2F6D4A83"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328D0127" w14:textId="77777777" w:rsidR="00795465" w:rsidRDefault="7ACCADD0" w:rsidP="427BD94E">
      <w:pPr>
        <w:shd w:val="clear" w:color="auto" w:fill="FFFFFF" w:themeFill="background1"/>
        <w:spacing w:after="150" w:line="276" w:lineRule="auto"/>
        <w:jc w:val="center"/>
        <w:rPr>
          <w:rFonts w:ascii="Arial" w:hAnsi="Arial" w:cs="Arial"/>
        </w:rPr>
      </w:pPr>
      <w:r w:rsidRPr="00795465">
        <w:rPr>
          <w:rFonts w:ascii="Arial" w:hAnsi="Arial" w:cs="Arial"/>
          <w:noProof/>
        </w:rPr>
        <w:drawing>
          <wp:inline distT="0" distB="0" distL="0" distR="0" wp14:anchorId="2E4FC791" wp14:editId="731F7A0A">
            <wp:extent cx="4314825" cy="2371725"/>
            <wp:effectExtent l="0" t="0" r="0" b="0"/>
            <wp:docPr id="1934633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633192" name="Picture 1934633192"/>
                    <pic:cNvPicPr/>
                  </pic:nvPicPr>
                  <pic:blipFill>
                    <a:blip r:embed="rId24">
                      <a:extLst>
                        <a:ext uri="{28A0092B-C50C-407E-A947-70E740481C1C}">
                          <a14:useLocalDpi xmlns:a14="http://schemas.microsoft.com/office/drawing/2010/main"/>
                        </a:ext>
                      </a:extLst>
                    </a:blip>
                    <a:stretch>
                      <a:fillRect/>
                    </a:stretch>
                  </pic:blipFill>
                  <pic:spPr>
                    <a:xfrm>
                      <a:off x="0" y="0"/>
                      <a:ext cx="4314825" cy="2371725"/>
                    </a:xfrm>
                    <a:prstGeom prst="rect">
                      <a:avLst/>
                    </a:prstGeom>
                  </pic:spPr>
                </pic:pic>
              </a:graphicData>
            </a:graphic>
          </wp:inline>
        </w:drawing>
      </w:r>
      <w:hyperlink r:id="rId25">
        <w:r w:rsidRPr="00795465">
          <w:rPr>
            <w:rStyle w:val="Hipervnculo"/>
            <w:rFonts w:ascii="Arial" w:eastAsia="Encode Sans" w:hAnsi="Arial" w:cs="Arial"/>
            <w:color w:val="028287"/>
          </w:rPr>
          <w:t xml:space="preserve"> </w:t>
        </w:r>
      </w:hyperlink>
    </w:p>
    <w:p w14:paraId="489316F0" w14:textId="430BB0DE" w:rsidR="2E6F3D13" w:rsidRPr="00795465" w:rsidRDefault="7ACCADD0" w:rsidP="427BD94E">
      <w:pPr>
        <w:shd w:val="clear" w:color="auto" w:fill="FFFFFF" w:themeFill="background1"/>
        <w:spacing w:after="150" w:line="276" w:lineRule="auto"/>
        <w:jc w:val="center"/>
        <w:rPr>
          <w:rFonts w:ascii="Arial" w:hAnsi="Arial" w:cs="Arial"/>
          <w:sz w:val="20"/>
          <w:szCs w:val="20"/>
        </w:rPr>
      </w:pPr>
      <w:hyperlink r:id="rId26">
        <w:r w:rsidRPr="00795465">
          <w:rPr>
            <w:rStyle w:val="Hipervnculo"/>
            <w:rFonts w:ascii="Arial" w:eastAsia="Encode Sans" w:hAnsi="Arial" w:cs="Arial"/>
            <w:i/>
            <w:iCs/>
            <w:color w:val="028287"/>
            <w:sz w:val="20"/>
            <w:szCs w:val="20"/>
          </w:rPr>
          <w:t xml:space="preserve">Soul </w:t>
        </w:r>
        <w:proofErr w:type="spellStart"/>
        <w:r w:rsidRPr="00795465">
          <w:rPr>
            <w:rStyle w:val="Hipervnculo"/>
            <w:rFonts w:ascii="Arial" w:eastAsia="Encode Sans" w:hAnsi="Arial" w:cs="Arial"/>
            <w:i/>
            <w:iCs/>
            <w:color w:val="028287"/>
            <w:sz w:val="20"/>
            <w:szCs w:val="20"/>
          </w:rPr>
          <w:t>Gym</w:t>
        </w:r>
        <w:proofErr w:type="spellEnd"/>
        <w:r w:rsidRPr="00795465">
          <w:rPr>
            <w:rStyle w:val="Hipervnculo"/>
            <w:rFonts w:ascii="Arial" w:eastAsia="Encode Sans" w:hAnsi="Arial" w:cs="Arial"/>
            <w:i/>
            <w:iCs/>
            <w:color w:val="028287"/>
            <w:sz w:val="20"/>
            <w:szCs w:val="20"/>
          </w:rPr>
          <w:t xml:space="preserve"> – </w:t>
        </w:r>
        <w:proofErr w:type="spellStart"/>
        <w:r w:rsidRPr="00795465">
          <w:rPr>
            <w:rStyle w:val="Hipervnculo"/>
            <w:rFonts w:ascii="Arial" w:eastAsia="Encode Sans" w:hAnsi="Arial" w:cs="Arial"/>
            <w:i/>
            <w:iCs/>
            <w:color w:val="028287"/>
            <w:sz w:val="20"/>
            <w:szCs w:val="20"/>
          </w:rPr>
          <w:t>Babies</w:t>
        </w:r>
        <w:proofErr w:type="spellEnd"/>
        <w:r w:rsidRPr="00795465">
          <w:rPr>
            <w:rStyle w:val="Hipervnculo"/>
            <w:rFonts w:ascii="Arial" w:eastAsia="Encode Sans" w:hAnsi="Arial" w:cs="Arial"/>
            <w:i/>
            <w:iCs/>
            <w:color w:val="028287"/>
            <w:sz w:val="20"/>
            <w:szCs w:val="20"/>
          </w:rPr>
          <w:t xml:space="preserve"> Uganda Campaign</w:t>
        </w:r>
      </w:hyperlink>
    </w:p>
    <w:p w14:paraId="2DD146AA" w14:textId="509BAE11"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 </w:t>
      </w:r>
    </w:p>
    <w:p w14:paraId="5E5492FC" w14:textId="645F0FED" w:rsidR="2E6F3D13" w:rsidRPr="00795465" w:rsidRDefault="7ACCADD0" w:rsidP="427BD94E">
      <w:pPr>
        <w:pStyle w:val="Ttulo3"/>
        <w:shd w:val="clear" w:color="auto" w:fill="FFFFFF" w:themeFill="background1"/>
        <w:spacing w:before="0" w:after="150" w:line="276" w:lineRule="auto"/>
        <w:jc w:val="both"/>
        <w:rPr>
          <w:rFonts w:ascii="Arial" w:eastAsia="Helvetica" w:hAnsi="Arial" w:cs="Arial"/>
          <w:b/>
          <w:bCs/>
          <w:caps/>
          <w:color w:val="0A4149"/>
        </w:rPr>
      </w:pPr>
      <w:r w:rsidRPr="00795465">
        <w:rPr>
          <w:rFonts w:ascii="Arial" w:eastAsia="Helvetica" w:hAnsi="Arial" w:cs="Arial"/>
          <w:b/>
          <w:bCs/>
          <w:caps/>
          <w:color w:val="0A4149"/>
        </w:rPr>
        <w:t>Take aways for NGOs</w:t>
      </w:r>
    </w:p>
    <w:p w14:paraId="130074D5" w14:textId="1D6FC58E" w:rsidR="2E6F3D13" w:rsidRPr="00795465" w:rsidRDefault="7ACCADD0" w:rsidP="427BD94E">
      <w:pPr>
        <w:shd w:val="clear" w:color="auto" w:fill="FFFFFF" w:themeFill="background1"/>
        <w:spacing w:after="150" w:line="276" w:lineRule="auto"/>
        <w:jc w:val="both"/>
        <w:rPr>
          <w:rFonts w:ascii="Arial" w:hAnsi="Arial" w:cs="Arial"/>
        </w:rPr>
      </w:pPr>
      <w:r w:rsidRPr="00795465">
        <w:rPr>
          <w:rFonts w:ascii="Arial" w:eastAsia="Encode Sans" w:hAnsi="Arial" w:cs="Arial"/>
          <w:color w:val="333333"/>
        </w:rPr>
        <w:t xml:space="preserve">In a world saturated with messages and shrinking attention spans, impactful awareness requires intention. NGOs can cut through the noise when they communicate with clarity, emotion and purpose: </w:t>
      </w:r>
    </w:p>
    <w:p w14:paraId="0A4FC23D" w14:textId="1D0DF68C"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b/>
          <w:bCs/>
          <w:color w:val="333333"/>
        </w:rPr>
        <w:t>Start with stories.</w:t>
      </w:r>
      <w:r w:rsidRPr="00795465">
        <w:rPr>
          <w:rFonts w:ascii="Arial" w:eastAsia="Encode Sans" w:hAnsi="Arial" w:cs="Arial"/>
          <w:color w:val="333333"/>
        </w:rPr>
        <w:t xml:space="preserve"> </w:t>
      </w:r>
    </w:p>
    <w:p w14:paraId="03874422" w14:textId="0C556D7C"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b/>
          <w:bCs/>
          <w:color w:val="333333"/>
        </w:rPr>
        <w:t>Speak simply.</w:t>
      </w:r>
      <w:r w:rsidRPr="00795465">
        <w:rPr>
          <w:rFonts w:ascii="Arial" w:eastAsia="Encode Sans" w:hAnsi="Arial" w:cs="Arial"/>
          <w:color w:val="333333"/>
        </w:rPr>
        <w:t xml:space="preserve"> </w:t>
      </w:r>
    </w:p>
    <w:p w14:paraId="66AD8C57" w14:textId="770C584F"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b/>
          <w:bCs/>
          <w:color w:val="333333"/>
        </w:rPr>
        <w:t>Connect emotionally.</w:t>
      </w:r>
      <w:r w:rsidRPr="00795465">
        <w:rPr>
          <w:rFonts w:ascii="Arial" w:eastAsia="Encode Sans" w:hAnsi="Arial" w:cs="Arial"/>
          <w:color w:val="333333"/>
        </w:rPr>
        <w:t xml:space="preserve"> </w:t>
      </w:r>
    </w:p>
    <w:p w14:paraId="5847503F" w14:textId="3D61FF96"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proofErr w:type="gramStart"/>
      <w:r w:rsidRPr="00795465">
        <w:rPr>
          <w:rFonts w:ascii="Arial" w:eastAsia="Encode Sans" w:hAnsi="Arial" w:cs="Arial"/>
          <w:b/>
          <w:bCs/>
          <w:color w:val="333333"/>
        </w:rPr>
        <w:t>Show</w:t>
      </w:r>
      <w:proofErr w:type="gramEnd"/>
      <w:r w:rsidRPr="00795465">
        <w:rPr>
          <w:rFonts w:ascii="Arial" w:eastAsia="Encode Sans" w:hAnsi="Arial" w:cs="Arial"/>
          <w:b/>
          <w:bCs/>
          <w:color w:val="333333"/>
        </w:rPr>
        <w:t xml:space="preserve"> possibility.</w:t>
      </w:r>
      <w:r w:rsidRPr="00795465">
        <w:rPr>
          <w:rFonts w:ascii="Arial" w:eastAsia="Encode Sans" w:hAnsi="Arial" w:cs="Arial"/>
          <w:color w:val="333333"/>
        </w:rPr>
        <w:t xml:space="preserve"> </w:t>
      </w:r>
    </w:p>
    <w:p w14:paraId="65CEAA06" w14:textId="6A708D0C"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795465">
        <w:rPr>
          <w:rFonts w:ascii="Arial" w:eastAsia="Encode Sans" w:hAnsi="Arial" w:cs="Arial"/>
          <w:b/>
          <w:bCs/>
          <w:color w:val="333333"/>
        </w:rPr>
        <w:t>Invite action.</w:t>
      </w:r>
      <w:r w:rsidRPr="00795465">
        <w:rPr>
          <w:rFonts w:ascii="Arial" w:eastAsia="Encode Sans" w:hAnsi="Arial" w:cs="Arial"/>
          <w:color w:val="333333"/>
        </w:rPr>
        <w:t xml:space="preserve"> </w:t>
      </w:r>
    </w:p>
    <w:p w14:paraId="734A8737" w14:textId="610004A4" w:rsidR="2E6F3D13" w:rsidRPr="00795465" w:rsidRDefault="7ACCADD0" w:rsidP="427BD94E">
      <w:pPr>
        <w:pStyle w:val="Prrafodelista"/>
        <w:numPr>
          <w:ilvl w:val="0"/>
          <w:numId w:val="1"/>
        </w:numPr>
        <w:shd w:val="clear" w:color="auto" w:fill="FFFFFF" w:themeFill="background1"/>
        <w:spacing w:after="0" w:line="276" w:lineRule="auto"/>
        <w:ind w:left="300"/>
        <w:jc w:val="both"/>
        <w:rPr>
          <w:rFonts w:ascii="Arial" w:eastAsia="Encode Sans" w:hAnsi="Arial" w:cs="Arial"/>
          <w:b/>
          <w:bCs/>
          <w:color w:val="333333"/>
        </w:rPr>
      </w:pPr>
      <w:r w:rsidRPr="00795465">
        <w:rPr>
          <w:rFonts w:ascii="Arial" w:eastAsia="Encode Sans" w:hAnsi="Arial" w:cs="Arial"/>
          <w:b/>
          <w:bCs/>
          <w:color w:val="333333"/>
        </w:rPr>
        <w:lastRenderedPageBreak/>
        <w:t>Keep listening and do it ethically</w:t>
      </w:r>
    </w:p>
    <w:p w14:paraId="1DC14736" w14:textId="76F77211" w:rsidR="2E6F3D13" w:rsidRPr="00795465" w:rsidRDefault="7ACCADD0" w:rsidP="427BD94E">
      <w:pPr>
        <w:shd w:val="clear" w:color="auto" w:fill="FFFFFF" w:themeFill="background1"/>
        <w:spacing w:after="150" w:line="276" w:lineRule="auto"/>
        <w:jc w:val="both"/>
        <w:rPr>
          <w:rFonts w:ascii="Arial" w:eastAsia="Encode Sans" w:hAnsi="Arial" w:cs="Arial"/>
          <w:color w:val="333333"/>
        </w:rPr>
      </w:pPr>
      <w:r w:rsidRPr="00795465">
        <w:rPr>
          <w:rFonts w:ascii="Arial" w:eastAsia="Encode Sans" w:hAnsi="Arial" w:cs="Arial"/>
          <w:b/>
          <w:bCs/>
          <w:color w:val="333333"/>
        </w:rPr>
        <w:t>Is not</w:t>
      </w:r>
      <w:r w:rsidRPr="00795465">
        <w:rPr>
          <w:rFonts w:ascii="Arial" w:eastAsia="Encode Sans" w:hAnsi="Arial" w:cs="Arial"/>
          <w:color w:val="333333"/>
        </w:rPr>
        <w:t xml:space="preserve"> </w:t>
      </w:r>
      <w:r w:rsidRPr="00795465">
        <w:rPr>
          <w:rFonts w:ascii="Arial" w:eastAsia="Encode Sans" w:hAnsi="Arial" w:cs="Arial"/>
          <w:b/>
          <w:bCs/>
          <w:color w:val="333333"/>
        </w:rPr>
        <w:t>only</w:t>
      </w:r>
      <w:r w:rsidRPr="00795465">
        <w:rPr>
          <w:rFonts w:ascii="Arial" w:eastAsia="Encode Sans" w:hAnsi="Arial" w:cs="Arial"/>
          <w:color w:val="333333"/>
        </w:rPr>
        <w:t xml:space="preserve"> </w:t>
      </w:r>
      <w:r w:rsidRPr="00795465">
        <w:rPr>
          <w:rFonts w:ascii="Arial" w:eastAsia="Encode Sans" w:hAnsi="Arial" w:cs="Arial"/>
          <w:b/>
          <w:bCs/>
          <w:color w:val="333333"/>
        </w:rPr>
        <w:t>about</w:t>
      </w:r>
      <w:r w:rsidRPr="00795465">
        <w:rPr>
          <w:rFonts w:ascii="Arial" w:eastAsia="Encode Sans" w:hAnsi="Arial" w:cs="Arial"/>
          <w:color w:val="333333"/>
        </w:rPr>
        <w:t xml:space="preserve"> </w:t>
      </w:r>
      <w:r w:rsidRPr="00795465">
        <w:rPr>
          <w:rFonts w:ascii="Arial" w:eastAsia="Encode Sans" w:hAnsi="Arial" w:cs="Arial"/>
          <w:b/>
          <w:bCs/>
          <w:color w:val="333333"/>
        </w:rPr>
        <w:t>goals, also</w:t>
      </w:r>
      <w:r w:rsidRPr="00795465">
        <w:rPr>
          <w:rFonts w:ascii="Arial" w:eastAsia="Encode Sans" w:hAnsi="Arial" w:cs="Arial"/>
          <w:color w:val="333333"/>
        </w:rPr>
        <w:t xml:space="preserve"> </w:t>
      </w:r>
      <w:r w:rsidRPr="00795465">
        <w:rPr>
          <w:rFonts w:ascii="Arial" w:eastAsia="Encode Sans" w:hAnsi="Arial" w:cs="Arial"/>
          <w:b/>
          <w:bCs/>
          <w:color w:val="333333"/>
        </w:rPr>
        <w:t>about means.</w:t>
      </w:r>
    </w:p>
    <w:p w14:paraId="4B9B2431" w14:textId="0863E5F6" w:rsidR="2E6F3D13" w:rsidRPr="00795465" w:rsidRDefault="2E6F3D13" w:rsidP="427BD94E">
      <w:pPr>
        <w:spacing w:line="276" w:lineRule="auto"/>
        <w:jc w:val="both"/>
        <w:rPr>
          <w:rFonts w:ascii="Arial" w:hAnsi="Arial" w:cs="Arial"/>
        </w:rPr>
      </w:pPr>
    </w:p>
    <w:sectPr w:rsidR="2E6F3D13" w:rsidRPr="007954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5200"/>
    <w:multiLevelType w:val="hybridMultilevel"/>
    <w:tmpl w:val="ED6031A4"/>
    <w:lvl w:ilvl="0" w:tplc="BC9C3A9E">
      <w:start w:val="4"/>
      <w:numFmt w:val="decimal"/>
      <w:lvlText w:val="%1."/>
      <w:lvlJc w:val="left"/>
      <w:pPr>
        <w:ind w:left="720" w:hanging="360"/>
      </w:pPr>
    </w:lvl>
    <w:lvl w:ilvl="1" w:tplc="3CCE0A8E">
      <w:start w:val="1"/>
      <w:numFmt w:val="lowerLetter"/>
      <w:lvlText w:val="%2."/>
      <w:lvlJc w:val="left"/>
      <w:pPr>
        <w:ind w:left="1440" w:hanging="360"/>
      </w:pPr>
    </w:lvl>
    <w:lvl w:ilvl="2" w:tplc="3432F070">
      <w:start w:val="1"/>
      <w:numFmt w:val="lowerRoman"/>
      <w:lvlText w:val="%3."/>
      <w:lvlJc w:val="right"/>
      <w:pPr>
        <w:ind w:left="2160" w:hanging="180"/>
      </w:pPr>
    </w:lvl>
    <w:lvl w:ilvl="3" w:tplc="998CFFBA">
      <w:start w:val="1"/>
      <w:numFmt w:val="decimal"/>
      <w:lvlText w:val="%4."/>
      <w:lvlJc w:val="left"/>
      <w:pPr>
        <w:ind w:left="2880" w:hanging="360"/>
      </w:pPr>
    </w:lvl>
    <w:lvl w:ilvl="4" w:tplc="45A43560">
      <w:start w:val="1"/>
      <w:numFmt w:val="lowerLetter"/>
      <w:lvlText w:val="%5."/>
      <w:lvlJc w:val="left"/>
      <w:pPr>
        <w:ind w:left="3600" w:hanging="360"/>
      </w:pPr>
    </w:lvl>
    <w:lvl w:ilvl="5" w:tplc="2D72FD28">
      <w:start w:val="1"/>
      <w:numFmt w:val="lowerRoman"/>
      <w:lvlText w:val="%6."/>
      <w:lvlJc w:val="right"/>
      <w:pPr>
        <w:ind w:left="4320" w:hanging="180"/>
      </w:pPr>
    </w:lvl>
    <w:lvl w:ilvl="6" w:tplc="7A72CE00">
      <w:start w:val="1"/>
      <w:numFmt w:val="decimal"/>
      <w:lvlText w:val="%7."/>
      <w:lvlJc w:val="left"/>
      <w:pPr>
        <w:ind w:left="5040" w:hanging="360"/>
      </w:pPr>
    </w:lvl>
    <w:lvl w:ilvl="7" w:tplc="84C05916">
      <w:start w:val="1"/>
      <w:numFmt w:val="lowerLetter"/>
      <w:lvlText w:val="%8."/>
      <w:lvlJc w:val="left"/>
      <w:pPr>
        <w:ind w:left="5760" w:hanging="360"/>
      </w:pPr>
    </w:lvl>
    <w:lvl w:ilvl="8" w:tplc="3CBA2838">
      <w:start w:val="1"/>
      <w:numFmt w:val="lowerRoman"/>
      <w:lvlText w:val="%9."/>
      <w:lvlJc w:val="right"/>
      <w:pPr>
        <w:ind w:left="6480" w:hanging="180"/>
      </w:pPr>
    </w:lvl>
  </w:abstractNum>
  <w:abstractNum w:abstractNumId="1" w15:restartNumberingAfterBreak="0">
    <w:nsid w:val="047ABF31"/>
    <w:multiLevelType w:val="hybridMultilevel"/>
    <w:tmpl w:val="A246CFD6"/>
    <w:lvl w:ilvl="0" w:tplc="E5904D1A">
      <w:start w:val="8"/>
      <w:numFmt w:val="decimal"/>
      <w:lvlText w:val="%1."/>
      <w:lvlJc w:val="left"/>
      <w:pPr>
        <w:ind w:left="720" w:hanging="360"/>
      </w:pPr>
    </w:lvl>
    <w:lvl w:ilvl="1" w:tplc="6F020B42">
      <w:start w:val="1"/>
      <w:numFmt w:val="lowerLetter"/>
      <w:lvlText w:val="%2."/>
      <w:lvlJc w:val="left"/>
      <w:pPr>
        <w:ind w:left="1440" w:hanging="360"/>
      </w:pPr>
    </w:lvl>
    <w:lvl w:ilvl="2" w:tplc="219A9102">
      <w:start w:val="1"/>
      <w:numFmt w:val="lowerRoman"/>
      <w:lvlText w:val="%3."/>
      <w:lvlJc w:val="right"/>
      <w:pPr>
        <w:ind w:left="2160" w:hanging="180"/>
      </w:pPr>
    </w:lvl>
    <w:lvl w:ilvl="3" w:tplc="60C852F4">
      <w:start w:val="1"/>
      <w:numFmt w:val="decimal"/>
      <w:lvlText w:val="%4."/>
      <w:lvlJc w:val="left"/>
      <w:pPr>
        <w:ind w:left="2880" w:hanging="360"/>
      </w:pPr>
    </w:lvl>
    <w:lvl w:ilvl="4" w:tplc="B67C69B2">
      <w:start w:val="1"/>
      <w:numFmt w:val="lowerLetter"/>
      <w:lvlText w:val="%5."/>
      <w:lvlJc w:val="left"/>
      <w:pPr>
        <w:ind w:left="3600" w:hanging="360"/>
      </w:pPr>
    </w:lvl>
    <w:lvl w:ilvl="5" w:tplc="3C86522A">
      <w:start w:val="1"/>
      <w:numFmt w:val="lowerRoman"/>
      <w:lvlText w:val="%6."/>
      <w:lvlJc w:val="right"/>
      <w:pPr>
        <w:ind w:left="4320" w:hanging="180"/>
      </w:pPr>
    </w:lvl>
    <w:lvl w:ilvl="6" w:tplc="7BBC5350">
      <w:start w:val="1"/>
      <w:numFmt w:val="decimal"/>
      <w:lvlText w:val="%7."/>
      <w:lvlJc w:val="left"/>
      <w:pPr>
        <w:ind w:left="5040" w:hanging="360"/>
      </w:pPr>
    </w:lvl>
    <w:lvl w:ilvl="7" w:tplc="81D41B18">
      <w:start w:val="1"/>
      <w:numFmt w:val="lowerLetter"/>
      <w:lvlText w:val="%8."/>
      <w:lvlJc w:val="left"/>
      <w:pPr>
        <w:ind w:left="5760" w:hanging="360"/>
      </w:pPr>
    </w:lvl>
    <w:lvl w:ilvl="8" w:tplc="D5A8390A">
      <w:start w:val="1"/>
      <w:numFmt w:val="lowerRoman"/>
      <w:lvlText w:val="%9."/>
      <w:lvlJc w:val="right"/>
      <w:pPr>
        <w:ind w:left="6480" w:hanging="180"/>
      </w:pPr>
    </w:lvl>
  </w:abstractNum>
  <w:abstractNum w:abstractNumId="2" w15:restartNumberingAfterBreak="0">
    <w:nsid w:val="093B9421"/>
    <w:multiLevelType w:val="hybridMultilevel"/>
    <w:tmpl w:val="82A22824"/>
    <w:lvl w:ilvl="0" w:tplc="5A0E21B2">
      <w:start w:val="1"/>
      <w:numFmt w:val="decimal"/>
      <w:lvlText w:val="%1."/>
      <w:lvlJc w:val="left"/>
      <w:pPr>
        <w:ind w:left="720" w:hanging="360"/>
      </w:pPr>
    </w:lvl>
    <w:lvl w:ilvl="1" w:tplc="1892E97C">
      <w:start w:val="1"/>
      <w:numFmt w:val="lowerLetter"/>
      <w:lvlText w:val="%2."/>
      <w:lvlJc w:val="left"/>
      <w:pPr>
        <w:ind w:left="1440" w:hanging="360"/>
      </w:pPr>
    </w:lvl>
    <w:lvl w:ilvl="2" w:tplc="D482FC34">
      <w:start w:val="1"/>
      <w:numFmt w:val="lowerRoman"/>
      <w:lvlText w:val="%3."/>
      <w:lvlJc w:val="right"/>
      <w:pPr>
        <w:ind w:left="2160" w:hanging="180"/>
      </w:pPr>
    </w:lvl>
    <w:lvl w:ilvl="3" w:tplc="0A42FAA0">
      <w:start w:val="1"/>
      <w:numFmt w:val="decimal"/>
      <w:lvlText w:val="%4."/>
      <w:lvlJc w:val="left"/>
      <w:pPr>
        <w:ind w:left="2880" w:hanging="360"/>
      </w:pPr>
    </w:lvl>
    <w:lvl w:ilvl="4" w:tplc="73249C0A">
      <w:start w:val="1"/>
      <w:numFmt w:val="lowerLetter"/>
      <w:lvlText w:val="%5."/>
      <w:lvlJc w:val="left"/>
      <w:pPr>
        <w:ind w:left="3600" w:hanging="360"/>
      </w:pPr>
    </w:lvl>
    <w:lvl w:ilvl="5" w:tplc="B8262EF4">
      <w:start w:val="1"/>
      <w:numFmt w:val="lowerRoman"/>
      <w:lvlText w:val="%6."/>
      <w:lvlJc w:val="right"/>
      <w:pPr>
        <w:ind w:left="4320" w:hanging="180"/>
      </w:pPr>
    </w:lvl>
    <w:lvl w:ilvl="6" w:tplc="C9E258E2">
      <w:start w:val="1"/>
      <w:numFmt w:val="decimal"/>
      <w:lvlText w:val="%7."/>
      <w:lvlJc w:val="left"/>
      <w:pPr>
        <w:ind w:left="5040" w:hanging="360"/>
      </w:pPr>
    </w:lvl>
    <w:lvl w:ilvl="7" w:tplc="38825836">
      <w:start w:val="1"/>
      <w:numFmt w:val="lowerLetter"/>
      <w:lvlText w:val="%8."/>
      <w:lvlJc w:val="left"/>
      <w:pPr>
        <w:ind w:left="5760" w:hanging="360"/>
      </w:pPr>
    </w:lvl>
    <w:lvl w:ilvl="8" w:tplc="ACCE10FC">
      <w:start w:val="1"/>
      <w:numFmt w:val="lowerRoman"/>
      <w:lvlText w:val="%9."/>
      <w:lvlJc w:val="right"/>
      <w:pPr>
        <w:ind w:left="6480" w:hanging="180"/>
      </w:pPr>
    </w:lvl>
  </w:abstractNum>
  <w:abstractNum w:abstractNumId="3" w15:restartNumberingAfterBreak="0">
    <w:nsid w:val="1D483C2C"/>
    <w:multiLevelType w:val="hybridMultilevel"/>
    <w:tmpl w:val="026AE080"/>
    <w:lvl w:ilvl="0" w:tplc="1DDE3FFA">
      <w:start w:val="6"/>
      <w:numFmt w:val="decimal"/>
      <w:lvlText w:val="%1."/>
      <w:lvlJc w:val="left"/>
      <w:pPr>
        <w:ind w:left="720" w:hanging="360"/>
      </w:pPr>
    </w:lvl>
    <w:lvl w:ilvl="1" w:tplc="C60C4C50">
      <w:start w:val="1"/>
      <w:numFmt w:val="lowerLetter"/>
      <w:lvlText w:val="%2."/>
      <w:lvlJc w:val="left"/>
      <w:pPr>
        <w:ind w:left="1440" w:hanging="360"/>
      </w:pPr>
    </w:lvl>
    <w:lvl w:ilvl="2" w:tplc="1A0A59B8">
      <w:start w:val="1"/>
      <w:numFmt w:val="lowerRoman"/>
      <w:lvlText w:val="%3."/>
      <w:lvlJc w:val="right"/>
      <w:pPr>
        <w:ind w:left="2160" w:hanging="180"/>
      </w:pPr>
    </w:lvl>
    <w:lvl w:ilvl="3" w:tplc="3E7EE7B8">
      <w:start w:val="1"/>
      <w:numFmt w:val="decimal"/>
      <w:lvlText w:val="%4."/>
      <w:lvlJc w:val="left"/>
      <w:pPr>
        <w:ind w:left="2880" w:hanging="360"/>
      </w:pPr>
    </w:lvl>
    <w:lvl w:ilvl="4" w:tplc="06D0ADA8">
      <w:start w:val="1"/>
      <w:numFmt w:val="lowerLetter"/>
      <w:lvlText w:val="%5."/>
      <w:lvlJc w:val="left"/>
      <w:pPr>
        <w:ind w:left="3600" w:hanging="360"/>
      </w:pPr>
    </w:lvl>
    <w:lvl w:ilvl="5" w:tplc="705CF01C">
      <w:start w:val="1"/>
      <w:numFmt w:val="lowerRoman"/>
      <w:lvlText w:val="%6."/>
      <w:lvlJc w:val="right"/>
      <w:pPr>
        <w:ind w:left="4320" w:hanging="180"/>
      </w:pPr>
    </w:lvl>
    <w:lvl w:ilvl="6" w:tplc="E5767B78">
      <w:start w:val="1"/>
      <w:numFmt w:val="decimal"/>
      <w:lvlText w:val="%7."/>
      <w:lvlJc w:val="left"/>
      <w:pPr>
        <w:ind w:left="5040" w:hanging="360"/>
      </w:pPr>
    </w:lvl>
    <w:lvl w:ilvl="7" w:tplc="49DABBF0">
      <w:start w:val="1"/>
      <w:numFmt w:val="lowerLetter"/>
      <w:lvlText w:val="%8."/>
      <w:lvlJc w:val="left"/>
      <w:pPr>
        <w:ind w:left="5760" w:hanging="360"/>
      </w:pPr>
    </w:lvl>
    <w:lvl w:ilvl="8" w:tplc="7F322FA8">
      <w:start w:val="1"/>
      <w:numFmt w:val="lowerRoman"/>
      <w:lvlText w:val="%9."/>
      <w:lvlJc w:val="right"/>
      <w:pPr>
        <w:ind w:left="6480" w:hanging="180"/>
      </w:pPr>
    </w:lvl>
  </w:abstractNum>
  <w:abstractNum w:abstractNumId="4" w15:restartNumberingAfterBreak="0">
    <w:nsid w:val="29DFC7AE"/>
    <w:multiLevelType w:val="hybridMultilevel"/>
    <w:tmpl w:val="980CB268"/>
    <w:lvl w:ilvl="0" w:tplc="EED05908">
      <w:start w:val="3"/>
      <w:numFmt w:val="decimal"/>
      <w:lvlText w:val="%1."/>
      <w:lvlJc w:val="left"/>
      <w:pPr>
        <w:ind w:left="720" w:hanging="360"/>
      </w:pPr>
    </w:lvl>
    <w:lvl w:ilvl="1" w:tplc="EF925C94">
      <w:start w:val="1"/>
      <w:numFmt w:val="lowerLetter"/>
      <w:lvlText w:val="%2."/>
      <w:lvlJc w:val="left"/>
      <w:pPr>
        <w:ind w:left="1440" w:hanging="360"/>
      </w:pPr>
    </w:lvl>
    <w:lvl w:ilvl="2" w:tplc="FBEACBD6">
      <w:start w:val="1"/>
      <w:numFmt w:val="lowerRoman"/>
      <w:lvlText w:val="%3."/>
      <w:lvlJc w:val="right"/>
      <w:pPr>
        <w:ind w:left="2160" w:hanging="180"/>
      </w:pPr>
    </w:lvl>
    <w:lvl w:ilvl="3" w:tplc="7BA8731A">
      <w:start w:val="1"/>
      <w:numFmt w:val="decimal"/>
      <w:lvlText w:val="%4."/>
      <w:lvlJc w:val="left"/>
      <w:pPr>
        <w:ind w:left="2880" w:hanging="360"/>
      </w:pPr>
    </w:lvl>
    <w:lvl w:ilvl="4" w:tplc="23B890A8">
      <w:start w:val="1"/>
      <w:numFmt w:val="lowerLetter"/>
      <w:lvlText w:val="%5."/>
      <w:lvlJc w:val="left"/>
      <w:pPr>
        <w:ind w:left="3600" w:hanging="360"/>
      </w:pPr>
    </w:lvl>
    <w:lvl w:ilvl="5" w:tplc="11CC1810">
      <w:start w:val="1"/>
      <w:numFmt w:val="lowerRoman"/>
      <w:lvlText w:val="%6."/>
      <w:lvlJc w:val="right"/>
      <w:pPr>
        <w:ind w:left="4320" w:hanging="180"/>
      </w:pPr>
    </w:lvl>
    <w:lvl w:ilvl="6" w:tplc="9C4C8E28">
      <w:start w:val="1"/>
      <w:numFmt w:val="decimal"/>
      <w:lvlText w:val="%7."/>
      <w:lvlJc w:val="left"/>
      <w:pPr>
        <w:ind w:left="5040" w:hanging="360"/>
      </w:pPr>
    </w:lvl>
    <w:lvl w:ilvl="7" w:tplc="350098E4">
      <w:start w:val="1"/>
      <w:numFmt w:val="lowerLetter"/>
      <w:lvlText w:val="%8."/>
      <w:lvlJc w:val="left"/>
      <w:pPr>
        <w:ind w:left="5760" w:hanging="360"/>
      </w:pPr>
    </w:lvl>
    <w:lvl w:ilvl="8" w:tplc="E000F2DE">
      <w:start w:val="1"/>
      <w:numFmt w:val="lowerRoman"/>
      <w:lvlText w:val="%9."/>
      <w:lvlJc w:val="right"/>
      <w:pPr>
        <w:ind w:left="6480" w:hanging="180"/>
      </w:pPr>
    </w:lvl>
  </w:abstractNum>
  <w:abstractNum w:abstractNumId="5" w15:restartNumberingAfterBreak="0">
    <w:nsid w:val="2A5B3CB4"/>
    <w:multiLevelType w:val="hybridMultilevel"/>
    <w:tmpl w:val="C5724314"/>
    <w:lvl w:ilvl="0" w:tplc="E0DE5524">
      <w:start w:val="1"/>
      <w:numFmt w:val="decimal"/>
      <w:lvlText w:val="%1)"/>
      <w:lvlJc w:val="left"/>
      <w:pPr>
        <w:ind w:left="720" w:hanging="360"/>
      </w:pPr>
    </w:lvl>
    <w:lvl w:ilvl="1" w:tplc="BEDC8DD0">
      <w:start w:val="1"/>
      <w:numFmt w:val="lowerLetter"/>
      <w:lvlText w:val="%2."/>
      <w:lvlJc w:val="left"/>
      <w:pPr>
        <w:ind w:left="1440" w:hanging="360"/>
      </w:pPr>
    </w:lvl>
    <w:lvl w:ilvl="2" w:tplc="F87AF754">
      <w:start w:val="1"/>
      <w:numFmt w:val="lowerRoman"/>
      <w:lvlText w:val="%3."/>
      <w:lvlJc w:val="right"/>
      <w:pPr>
        <w:ind w:left="2160" w:hanging="180"/>
      </w:pPr>
    </w:lvl>
    <w:lvl w:ilvl="3" w:tplc="F566E1C2">
      <w:start w:val="1"/>
      <w:numFmt w:val="decimal"/>
      <w:lvlText w:val="%4."/>
      <w:lvlJc w:val="left"/>
      <w:pPr>
        <w:ind w:left="2880" w:hanging="360"/>
      </w:pPr>
    </w:lvl>
    <w:lvl w:ilvl="4" w:tplc="640A39F6">
      <w:start w:val="1"/>
      <w:numFmt w:val="lowerLetter"/>
      <w:lvlText w:val="%5."/>
      <w:lvlJc w:val="left"/>
      <w:pPr>
        <w:ind w:left="3600" w:hanging="360"/>
      </w:pPr>
    </w:lvl>
    <w:lvl w:ilvl="5" w:tplc="16A290D8">
      <w:start w:val="1"/>
      <w:numFmt w:val="lowerRoman"/>
      <w:lvlText w:val="%6."/>
      <w:lvlJc w:val="right"/>
      <w:pPr>
        <w:ind w:left="4320" w:hanging="180"/>
      </w:pPr>
    </w:lvl>
    <w:lvl w:ilvl="6" w:tplc="3DBA9476">
      <w:start w:val="1"/>
      <w:numFmt w:val="decimal"/>
      <w:lvlText w:val="%7."/>
      <w:lvlJc w:val="left"/>
      <w:pPr>
        <w:ind w:left="5040" w:hanging="360"/>
      </w:pPr>
    </w:lvl>
    <w:lvl w:ilvl="7" w:tplc="F5A2DC96">
      <w:start w:val="1"/>
      <w:numFmt w:val="lowerLetter"/>
      <w:lvlText w:val="%8."/>
      <w:lvlJc w:val="left"/>
      <w:pPr>
        <w:ind w:left="5760" w:hanging="360"/>
      </w:pPr>
    </w:lvl>
    <w:lvl w:ilvl="8" w:tplc="094C0034">
      <w:start w:val="1"/>
      <w:numFmt w:val="lowerRoman"/>
      <w:lvlText w:val="%9."/>
      <w:lvlJc w:val="right"/>
      <w:pPr>
        <w:ind w:left="6480" w:hanging="180"/>
      </w:pPr>
    </w:lvl>
  </w:abstractNum>
  <w:abstractNum w:abstractNumId="6" w15:restartNumberingAfterBreak="0">
    <w:nsid w:val="311864B2"/>
    <w:multiLevelType w:val="hybridMultilevel"/>
    <w:tmpl w:val="9D74E366"/>
    <w:lvl w:ilvl="0" w:tplc="71E27F44">
      <w:start w:val="1"/>
      <w:numFmt w:val="decimal"/>
      <w:lvlText w:val="%1."/>
      <w:lvlJc w:val="left"/>
      <w:pPr>
        <w:ind w:left="720" w:hanging="360"/>
      </w:pPr>
    </w:lvl>
    <w:lvl w:ilvl="1" w:tplc="E2BCE628">
      <w:start w:val="1"/>
      <w:numFmt w:val="lowerLetter"/>
      <w:lvlText w:val="%2."/>
      <w:lvlJc w:val="left"/>
      <w:pPr>
        <w:ind w:left="1440" w:hanging="360"/>
      </w:pPr>
    </w:lvl>
    <w:lvl w:ilvl="2" w:tplc="3DB0E8F2">
      <w:start w:val="1"/>
      <w:numFmt w:val="lowerRoman"/>
      <w:lvlText w:val="%3."/>
      <w:lvlJc w:val="right"/>
      <w:pPr>
        <w:ind w:left="2160" w:hanging="180"/>
      </w:pPr>
    </w:lvl>
    <w:lvl w:ilvl="3" w:tplc="367C7CA0">
      <w:start w:val="1"/>
      <w:numFmt w:val="decimal"/>
      <w:lvlText w:val="%4."/>
      <w:lvlJc w:val="left"/>
      <w:pPr>
        <w:ind w:left="2880" w:hanging="360"/>
      </w:pPr>
    </w:lvl>
    <w:lvl w:ilvl="4" w:tplc="9560EFC0">
      <w:start w:val="1"/>
      <w:numFmt w:val="lowerLetter"/>
      <w:lvlText w:val="%5."/>
      <w:lvlJc w:val="left"/>
      <w:pPr>
        <w:ind w:left="3600" w:hanging="360"/>
      </w:pPr>
    </w:lvl>
    <w:lvl w:ilvl="5" w:tplc="50EE1016">
      <w:start w:val="1"/>
      <w:numFmt w:val="lowerRoman"/>
      <w:lvlText w:val="%6."/>
      <w:lvlJc w:val="right"/>
      <w:pPr>
        <w:ind w:left="4320" w:hanging="180"/>
      </w:pPr>
    </w:lvl>
    <w:lvl w:ilvl="6" w:tplc="7520CA58">
      <w:start w:val="1"/>
      <w:numFmt w:val="decimal"/>
      <w:lvlText w:val="%7."/>
      <w:lvlJc w:val="left"/>
      <w:pPr>
        <w:ind w:left="5040" w:hanging="360"/>
      </w:pPr>
    </w:lvl>
    <w:lvl w:ilvl="7" w:tplc="4F607B8A">
      <w:start w:val="1"/>
      <w:numFmt w:val="lowerLetter"/>
      <w:lvlText w:val="%8."/>
      <w:lvlJc w:val="left"/>
      <w:pPr>
        <w:ind w:left="5760" w:hanging="360"/>
      </w:pPr>
    </w:lvl>
    <w:lvl w:ilvl="8" w:tplc="D8A8368C">
      <w:start w:val="1"/>
      <w:numFmt w:val="lowerRoman"/>
      <w:lvlText w:val="%9."/>
      <w:lvlJc w:val="right"/>
      <w:pPr>
        <w:ind w:left="6480" w:hanging="180"/>
      </w:pPr>
    </w:lvl>
  </w:abstractNum>
  <w:abstractNum w:abstractNumId="7" w15:restartNumberingAfterBreak="0">
    <w:nsid w:val="3127166C"/>
    <w:multiLevelType w:val="hybridMultilevel"/>
    <w:tmpl w:val="830A75D2"/>
    <w:lvl w:ilvl="0" w:tplc="8E2E21AC">
      <w:start w:val="1"/>
      <w:numFmt w:val="bullet"/>
      <w:lvlText w:val=""/>
      <w:lvlJc w:val="left"/>
      <w:pPr>
        <w:ind w:left="720" w:hanging="360"/>
      </w:pPr>
      <w:rPr>
        <w:rFonts w:ascii="Symbol" w:hAnsi="Symbol" w:hint="default"/>
      </w:rPr>
    </w:lvl>
    <w:lvl w:ilvl="1" w:tplc="08C493C8">
      <w:start w:val="1"/>
      <w:numFmt w:val="bullet"/>
      <w:lvlText w:val="o"/>
      <w:lvlJc w:val="left"/>
      <w:pPr>
        <w:ind w:left="1440" w:hanging="360"/>
      </w:pPr>
      <w:rPr>
        <w:rFonts w:ascii="Courier New" w:hAnsi="Courier New" w:hint="default"/>
      </w:rPr>
    </w:lvl>
    <w:lvl w:ilvl="2" w:tplc="D8C0BA38">
      <w:start w:val="1"/>
      <w:numFmt w:val="bullet"/>
      <w:lvlText w:val=""/>
      <w:lvlJc w:val="left"/>
      <w:pPr>
        <w:ind w:left="2160" w:hanging="360"/>
      </w:pPr>
      <w:rPr>
        <w:rFonts w:ascii="Wingdings" w:hAnsi="Wingdings" w:hint="default"/>
      </w:rPr>
    </w:lvl>
    <w:lvl w:ilvl="3" w:tplc="659A2448">
      <w:start w:val="1"/>
      <w:numFmt w:val="bullet"/>
      <w:lvlText w:val=""/>
      <w:lvlJc w:val="left"/>
      <w:pPr>
        <w:ind w:left="2880" w:hanging="360"/>
      </w:pPr>
      <w:rPr>
        <w:rFonts w:ascii="Symbol" w:hAnsi="Symbol" w:hint="default"/>
      </w:rPr>
    </w:lvl>
    <w:lvl w:ilvl="4" w:tplc="6512027C">
      <w:start w:val="1"/>
      <w:numFmt w:val="bullet"/>
      <w:lvlText w:val="o"/>
      <w:lvlJc w:val="left"/>
      <w:pPr>
        <w:ind w:left="3600" w:hanging="360"/>
      </w:pPr>
      <w:rPr>
        <w:rFonts w:ascii="Courier New" w:hAnsi="Courier New" w:hint="default"/>
      </w:rPr>
    </w:lvl>
    <w:lvl w:ilvl="5" w:tplc="89A863EA">
      <w:start w:val="1"/>
      <w:numFmt w:val="bullet"/>
      <w:lvlText w:val=""/>
      <w:lvlJc w:val="left"/>
      <w:pPr>
        <w:ind w:left="4320" w:hanging="360"/>
      </w:pPr>
      <w:rPr>
        <w:rFonts w:ascii="Wingdings" w:hAnsi="Wingdings" w:hint="default"/>
      </w:rPr>
    </w:lvl>
    <w:lvl w:ilvl="6" w:tplc="6D920846">
      <w:start w:val="1"/>
      <w:numFmt w:val="bullet"/>
      <w:lvlText w:val=""/>
      <w:lvlJc w:val="left"/>
      <w:pPr>
        <w:ind w:left="5040" w:hanging="360"/>
      </w:pPr>
      <w:rPr>
        <w:rFonts w:ascii="Symbol" w:hAnsi="Symbol" w:hint="default"/>
      </w:rPr>
    </w:lvl>
    <w:lvl w:ilvl="7" w:tplc="A1F26B44">
      <w:start w:val="1"/>
      <w:numFmt w:val="bullet"/>
      <w:lvlText w:val="o"/>
      <w:lvlJc w:val="left"/>
      <w:pPr>
        <w:ind w:left="5760" w:hanging="360"/>
      </w:pPr>
      <w:rPr>
        <w:rFonts w:ascii="Courier New" w:hAnsi="Courier New" w:hint="default"/>
      </w:rPr>
    </w:lvl>
    <w:lvl w:ilvl="8" w:tplc="7258FA4E">
      <w:start w:val="1"/>
      <w:numFmt w:val="bullet"/>
      <w:lvlText w:val=""/>
      <w:lvlJc w:val="left"/>
      <w:pPr>
        <w:ind w:left="6480" w:hanging="360"/>
      </w:pPr>
      <w:rPr>
        <w:rFonts w:ascii="Wingdings" w:hAnsi="Wingdings" w:hint="default"/>
      </w:rPr>
    </w:lvl>
  </w:abstractNum>
  <w:abstractNum w:abstractNumId="8" w15:restartNumberingAfterBreak="0">
    <w:nsid w:val="48CCD43F"/>
    <w:multiLevelType w:val="hybridMultilevel"/>
    <w:tmpl w:val="9678077E"/>
    <w:lvl w:ilvl="0" w:tplc="C0EA501E">
      <w:start w:val="1"/>
      <w:numFmt w:val="bullet"/>
      <w:lvlText w:val=""/>
      <w:lvlJc w:val="left"/>
      <w:pPr>
        <w:ind w:left="720" w:hanging="360"/>
      </w:pPr>
      <w:rPr>
        <w:rFonts w:ascii="Symbol" w:hAnsi="Symbol" w:hint="default"/>
      </w:rPr>
    </w:lvl>
    <w:lvl w:ilvl="1" w:tplc="098C810E">
      <w:start w:val="1"/>
      <w:numFmt w:val="bullet"/>
      <w:lvlText w:val="o"/>
      <w:lvlJc w:val="left"/>
      <w:pPr>
        <w:ind w:left="1440" w:hanging="360"/>
      </w:pPr>
      <w:rPr>
        <w:rFonts w:ascii="Courier New" w:hAnsi="Courier New" w:hint="default"/>
      </w:rPr>
    </w:lvl>
    <w:lvl w:ilvl="2" w:tplc="5AA027A4">
      <w:start w:val="1"/>
      <w:numFmt w:val="bullet"/>
      <w:lvlText w:val=""/>
      <w:lvlJc w:val="left"/>
      <w:pPr>
        <w:ind w:left="2160" w:hanging="360"/>
      </w:pPr>
      <w:rPr>
        <w:rFonts w:ascii="Wingdings" w:hAnsi="Wingdings" w:hint="default"/>
      </w:rPr>
    </w:lvl>
    <w:lvl w:ilvl="3" w:tplc="237CD5E2">
      <w:start w:val="1"/>
      <w:numFmt w:val="bullet"/>
      <w:lvlText w:val=""/>
      <w:lvlJc w:val="left"/>
      <w:pPr>
        <w:ind w:left="2880" w:hanging="360"/>
      </w:pPr>
      <w:rPr>
        <w:rFonts w:ascii="Symbol" w:hAnsi="Symbol" w:hint="default"/>
      </w:rPr>
    </w:lvl>
    <w:lvl w:ilvl="4" w:tplc="BB7C3222">
      <w:start w:val="1"/>
      <w:numFmt w:val="bullet"/>
      <w:lvlText w:val="o"/>
      <w:lvlJc w:val="left"/>
      <w:pPr>
        <w:ind w:left="3600" w:hanging="360"/>
      </w:pPr>
      <w:rPr>
        <w:rFonts w:ascii="Courier New" w:hAnsi="Courier New" w:hint="default"/>
      </w:rPr>
    </w:lvl>
    <w:lvl w:ilvl="5" w:tplc="8A78968C">
      <w:start w:val="1"/>
      <w:numFmt w:val="bullet"/>
      <w:lvlText w:val=""/>
      <w:lvlJc w:val="left"/>
      <w:pPr>
        <w:ind w:left="4320" w:hanging="360"/>
      </w:pPr>
      <w:rPr>
        <w:rFonts w:ascii="Wingdings" w:hAnsi="Wingdings" w:hint="default"/>
      </w:rPr>
    </w:lvl>
    <w:lvl w:ilvl="6" w:tplc="027CB666">
      <w:start w:val="1"/>
      <w:numFmt w:val="bullet"/>
      <w:lvlText w:val=""/>
      <w:lvlJc w:val="left"/>
      <w:pPr>
        <w:ind w:left="5040" w:hanging="360"/>
      </w:pPr>
      <w:rPr>
        <w:rFonts w:ascii="Symbol" w:hAnsi="Symbol" w:hint="default"/>
      </w:rPr>
    </w:lvl>
    <w:lvl w:ilvl="7" w:tplc="D7C2DFDA">
      <w:start w:val="1"/>
      <w:numFmt w:val="bullet"/>
      <w:lvlText w:val="o"/>
      <w:lvlJc w:val="left"/>
      <w:pPr>
        <w:ind w:left="5760" w:hanging="360"/>
      </w:pPr>
      <w:rPr>
        <w:rFonts w:ascii="Courier New" w:hAnsi="Courier New" w:hint="default"/>
      </w:rPr>
    </w:lvl>
    <w:lvl w:ilvl="8" w:tplc="6E16B030">
      <w:start w:val="1"/>
      <w:numFmt w:val="bullet"/>
      <w:lvlText w:val=""/>
      <w:lvlJc w:val="left"/>
      <w:pPr>
        <w:ind w:left="6480" w:hanging="360"/>
      </w:pPr>
      <w:rPr>
        <w:rFonts w:ascii="Wingdings" w:hAnsi="Wingdings" w:hint="default"/>
      </w:rPr>
    </w:lvl>
  </w:abstractNum>
  <w:abstractNum w:abstractNumId="9" w15:restartNumberingAfterBreak="0">
    <w:nsid w:val="4FBBD3A1"/>
    <w:multiLevelType w:val="hybridMultilevel"/>
    <w:tmpl w:val="C8948DD6"/>
    <w:lvl w:ilvl="0" w:tplc="BDFE422A">
      <w:start w:val="1"/>
      <w:numFmt w:val="bullet"/>
      <w:lvlText w:val=""/>
      <w:lvlJc w:val="left"/>
      <w:pPr>
        <w:ind w:left="720" w:hanging="360"/>
      </w:pPr>
      <w:rPr>
        <w:rFonts w:ascii="Symbol" w:hAnsi="Symbol" w:hint="default"/>
      </w:rPr>
    </w:lvl>
    <w:lvl w:ilvl="1" w:tplc="A27C20AE">
      <w:start w:val="1"/>
      <w:numFmt w:val="bullet"/>
      <w:lvlText w:val="o"/>
      <w:lvlJc w:val="left"/>
      <w:pPr>
        <w:ind w:left="1440" w:hanging="360"/>
      </w:pPr>
      <w:rPr>
        <w:rFonts w:ascii="Courier New" w:hAnsi="Courier New" w:hint="default"/>
      </w:rPr>
    </w:lvl>
    <w:lvl w:ilvl="2" w:tplc="303A83A2">
      <w:start w:val="1"/>
      <w:numFmt w:val="bullet"/>
      <w:lvlText w:val=""/>
      <w:lvlJc w:val="left"/>
      <w:pPr>
        <w:ind w:left="2160" w:hanging="360"/>
      </w:pPr>
      <w:rPr>
        <w:rFonts w:ascii="Wingdings" w:hAnsi="Wingdings" w:hint="default"/>
      </w:rPr>
    </w:lvl>
    <w:lvl w:ilvl="3" w:tplc="7DACCCC8">
      <w:start w:val="1"/>
      <w:numFmt w:val="bullet"/>
      <w:lvlText w:val=""/>
      <w:lvlJc w:val="left"/>
      <w:pPr>
        <w:ind w:left="2880" w:hanging="360"/>
      </w:pPr>
      <w:rPr>
        <w:rFonts w:ascii="Symbol" w:hAnsi="Symbol" w:hint="default"/>
      </w:rPr>
    </w:lvl>
    <w:lvl w:ilvl="4" w:tplc="BDA84DCC">
      <w:start w:val="1"/>
      <w:numFmt w:val="bullet"/>
      <w:lvlText w:val="o"/>
      <w:lvlJc w:val="left"/>
      <w:pPr>
        <w:ind w:left="3600" w:hanging="360"/>
      </w:pPr>
      <w:rPr>
        <w:rFonts w:ascii="Courier New" w:hAnsi="Courier New" w:hint="default"/>
      </w:rPr>
    </w:lvl>
    <w:lvl w:ilvl="5" w:tplc="119295CC">
      <w:start w:val="1"/>
      <w:numFmt w:val="bullet"/>
      <w:lvlText w:val=""/>
      <w:lvlJc w:val="left"/>
      <w:pPr>
        <w:ind w:left="4320" w:hanging="360"/>
      </w:pPr>
      <w:rPr>
        <w:rFonts w:ascii="Wingdings" w:hAnsi="Wingdings" w:hint="default"/>
      </w:rPr>
    </w:lvl>
    <w:lvl w:ilvl="6" w:tplc="3AC4DB18">
      <w:start w:val="1"/>
      <w:numFmt w:val="bullet"/>
      <w:lvlText w:val=""/>
      <w:lvlJc w:val="left"/>
      <w:pPr>
        <w:ind w:left="5040" w:hanging="360"/>
      </w:pPr>
      <w:rPr>
        <w:rFonts w:ascii="Symbol" w:hAnsi="Symbol" w:hint="default"/>
      </w:rPr>
    </w:lvl>
    <w:lvl w:ilvl="7" w:tplc="C9CE7E7C">
      <w:start w:val="1"/>
      <w:numFmt w:val="bullet"/>
      <w:lvlText w:val="o"/>
      <w:lvlJc w:val="left"/>
      <w:pPr>
        <w:ind w:left="5760" w:hanging="360"/>
      </w:pPr>
      <w:rPr>
        <w:rFonts w:ascii="Courier New" w:hAnsi="Courier New" w:hint="default"/>
      </w:rPr>
    </w:lvl>
    <w:lvl w:ilvl="8" w:tplc="DF4AD9B4">
      <w:start w:val="1"/>
      <w:numFmt w:val="bullet"/>
      <w:lvlText w:val=""/>
      <w:lvlJc w:val="left"/>
      <w:pPr>
        <w:ind w:left="6480" w:hanging="360"/>
      </w:pPr>
      <w:rPr>
        <w:rFonts w:ascii="Wingdings" w:hAnsi="Wingdings" w:hint="default"/>
      </w:rPr>
    </w:lvl>
  </w:abstractNum>
  <w:abstractNum w:abstractNumId="10" w15:restartNumberingAfterBreak="0">
    <w:nsid w:val="51696DC6"/>
    <w:multiLevelType w:val="hybridMultilevel"/>
    <w:tmpl w:val="0D4A5536"/>
    <w:lvl w:ilvl="0" w:tplc="8FB6E152">
      <w:start w:val="5"/>
      <w:numFmt w:val="decimal"/>
      <w:lvlText w:val="%1."/>
      <w:lvlJc w:val="left"/>
      <w:pPr>
        <w:ind w:left="720" w:hanging="360"/>
      </w:pPr>
    </w:lvl>
    <w:lvl w:ilvl="1" w:tplc="A1B410DE">
      <w:start w:val="1"/>
      <w:numFmt w:val="lowerLetter"/>
      <w:lvlText w:val="%2."/>
      <w:lvlJc w:val="left"/>
      <w:pPr>
        <w:ind w:left="1440" w:hanging="360"/>
      </w:pPr>
    </w:lvl>
    <w:lvl w:ilvl="2" w:tplc="667C3174">
      <w:start w:val="1"/>
      <w:numFmt w:val="lowerRoman"/>
      <w:lvlText w:val="%3."/>
      <w:lvlJc w:val="right"/>
      <w:pPr>
        <w:ind w:left="2160" w:hanging="180"/>
      </w:pPr>
    </w:lvl>
    <w:lvl w:ilvl="3" w:tplc="9C5274AC">
      <w:start w:val="1"/>
      <w:numFmt w:val="decimal"/>
      <w:lvlText w:val="%4."/>
      <w:lvlJc w:val="left"/>
      <w:pPr>
        <w:ind w:left="2880" w:hanging="360"/>
      </w:pPr>
    </w:lvl>
    <w:lvl w:ilvl="4" w:tplc="6088C834">
      <w:start w:val="1"/>
      <w:numFmt w:val="lowerLetter"/>
      <w:lvlText w:val="%5."/>
      <w:lvlJc w:val="left"/>
      <w:pPr>
        <w:ind w:left="3600" w:hanging="360"/>
      </w:pPr>
    </w:lvl>
    <w:lvl w:ilvl="5" w:tplc="147646DC">
      <w:start w:val="1"/>
      <w:numFmt w:val="lowerRoman"/>
      <w:lvlText w:val="%6."/>
      <w:lvlJc w:val="right"/>
      <w:pPr>
        <w:ind w:left="4320" w:hanging="180"/>
      </w:pPr>
    </w:lvl>
    <w:lvl w:ilvl="6" w:tplc="D76269C2">
      <w:start w:val="1"/>
      <w:numFmt w:val="decimal"/>
      <w:lvlText w:val="%7."/>
      <w:lvlJc w:val="left"/>
      <w:pPr>
        <w:ind w:left="5040" w:hanging="360"/>
      </w:pPr>
    </w:lvl>
    <w:lvl w:ilvl="7" w:tplc="94DE79D6">
      <w:start w:val="1"/>
      <w:numFmt w:val="lowerLetter"/>
      <w:lvlText w:val="%8."/>
      <w:lvlJc w:val="left"/>
      <w:pPr>
        <w:ind w:left="5760" w:hanging="360"/>
      </w:pPr>
    </w:lvl>
    <w:lvl w:ilvl="8" w:tplc="9CFAC238">
      <w:start w:val="1"/>
      <w:numFmt w:val="lowerRoman"/>
      <w:lvlText w:val="%9."/>
      <w:lvlJc w:val="right"/>
      <w:pPr>
        <w:ind w:left="6480" w:hanging="180"/>
      </w:pPr>
    </w:lvl>
  </w:abstractNum>
  <w:abstractNum w:abstractNumId="11" w15:restartNumberingAfterBreak="0">
    <w:nsid w:val="52966335"/>
    <w:multiLevelType w:val="hybridMultilevel"/>
    <w:tmpl w:val="2892F476"/>
    <w:lvl w:ilvl="0" w:tplc="EAECFAAA">
      <w:start w:val="1"/>
      <w:numFmt w:val="decimal"/>
      <w:lvlText w:val="%1."/>
      <w:lvlJc w:val="left"/>
      <w:pPr>
        <w:ind w:left="720" w:hanging="360"/>
      </w:pPr>
    </w:lvl>
    <w:lvl w:ilvl="1" w:tplc="16C27226">
      <w:start w:val="1"/>
      <w:numFmt w:val="lowerLetter"/>
      <w:lvlText w:val="%2."/>
      <w:lvlJc w:val="left"/>
      <w:pPr>
        <w:ind w:left="1440" w:hanging="360"/>
      </w:pPr>
    </w:lvl>
    <w:lvl w:ilvl="2" w:tplc="BC66320E">
      <w:start w:val="1"/>
      <w:numFmt w:val="lowerRoman"/>
      <w:lvlText w:val="%3."/>
      <w:lvlJc w:val="right"/>
      <w:pPr>
        <w:ind w:left="2160" w:hanging="180"/>
      </w:pPr>
    </w:lvl>
    <w:lvl w:ilvl="3" w:tplc="BCC41B7A">
      <w:start w:val="1"/>
      <w:numFmt w:val="decimal"/>
      <w:lvlText w:val="%4."/>
      <w:lvlJc w:val="left"/>
      <w:pPr>
        <w:ind w:left="2880" w:hanging="360"/>
      </w:pPr>
    </w:lvl>
    <w:lvl w:ilvl="4" w:tplc="8C4E0A54">
      <w:start w:val="1"/>
      <w:numFmt w:val="lowerLetter"/>
      <w:lvlText w:val="%5."/>
      <w:lvlJc w:val="left"/>
      <w:pPr>
        <w:ind w:left="3600" w:hanging="360"/>
      </w:pPr>
    </w:lvl>
    <w:lvl w:ilvl="5" w:tplc="9B70AD58">
      <w:start w:val="1"/>
      <w:numFmt w:val="lowerRoman"/>
      <w:lvlText w:val="%6."/>
      <w:lvlJc w:val="right"/>
      <w:pPr>
        <w:ind w:left="4320" w:hanging="180"/>
      </w:pPr>
    </w:lvl>
    <w:lvl w:ilvl="6" w:tplc="A30A239C">
      <w:start w:val="1"/>
      <w:numFmt w:val="decimal"/>
      <w:lvlText w:val="%7."/>
      <w:lvlJc w:val="left"/>
      <w:pPr>
        <w:ind w:left="5040" w:hanging="360"/>
      </w:pPr>
    </w:lvl>
    <w:lvl w:ilvl="7" w:tplc="5A9C7D2A">
      <w:start w:val="1"/>
      <w:numFmt w:val="lowerLetter"/>
      <w:lvlText w:val="%8."/>
      <w:lvlJc w:val="left"/>
      <w:pPr>
        <w:ind w:left="5760" w:hanging="360"/>
      </w:pPr>
    </w:lvl>
    <w:lvl w:ilvl="8" w:tplc="36FE26AE">
      <w:start w:val="1"/>
      <w:numFmt w:val="lowerRoman"/>
      <w:lvlText w:val="%9."/>
      <w:lvlJc w:val="right"/>
      <w:pPr>
        <w:ind w:left="6480" w:hanging="180"/>
      </w:pPr>
    </w:lvl>
  </w:abstractNum>
  <w:abstractNum w:abstractNumId="12" w15:restartNumberingAfterBreak="0">
    <w:nsid w:val="5DD4FE42"/>
    <w:multiLevelType w:val="hybridMultilevel"/>
    <w:tmpl w:val="23282AC6"/>
    <w:lvl w:ilvl="0" w:tplc="44A01E90">
      <w:start w:val="7"/>
      <w:numFmt w:val="decimal"/>
      <w:lvlText w:val="%1."/>
      <w:lvlJc w:val="left"/>
      <w:pPr>
        <w:ind w:left="720" w:hanging="360"/>
      </w:pPr>
    </w:lvl>
    <w:lvl w:ilvl="1" w:tplc="F924642A">
      <w:start w:val="1"/>
      <w:numFmt w:val="lowerLetter"/>
      <w:lvlText w:val="%2."/>
      <w:lvlJc w:val="left"/>
      <w:pPr>
        <w:ind w:left="1440" w:hanging="360"/>
      </w:pPr>
    </w:lvl>
    <w:lvl w:ilvl="2" w:tplc="09C41C3A">
      <w:start w:val="1"/>
      <w:numFmt w:val="lowerRoman"/>
      <w:lvlText w:val="%3."/>
      <w:lvlJc w:val="right"/>
      <w:pPr>
        <w:ind w:left="2160" w:hanging="180"/>
      </w:pPr>
    </w:lvl>
    <w:lvl w:ilvl="3" w:tplc="1EEE152E">
      <w:start w:val="1"/>
      <w:numFmt w:val="decimal"/>
      <w:lvlText w:val="%4."/>
      <w:lvlJc w:val="left"/>
      <w:pPr>
        <w:ind w:left="2880" w:hanging="360"/>
      </w:pPr>
    </w:lvl>
    <w:lvl w:ilvl="4" w:tplc="06542A3C">
      <w:start w:val="1"/>
      <w:numFmt w:val="lowerLetter"/>
      <w:lvlText w:val="%5."/>
      <w:lvlJc w:val="left"/>
      <w:pPr>
        <w:ind w:left="3600" w:hanging="360"/>
      </w:pPr>
    </w:lvl>
    <w:lvl w:ilvl="5" w:tplc="9C20F590">
      <w:start w:val="1"/>
      <w:numFmt w:val="lowerRoman"/>
      <w:lvlText w:val="%6."/>
      <w:lvlJc w:val="right"/>
      <w:pPr>
        <w:ind w:left="4320" w:hanging="180"/>
      </w:pPr>
    </w:lvl>
    <w:lvl w:ilvl="6" w:tplc="1B528B5E">
      <w:start w:val="1"/>
      <w:numFmt w:val="decimal"/>
      <w:lvlText w:val="%7."/>
      <w:lvlJc w:val="left"/>
      <w:pPr>
        <w:ind w:left="5040" w:hanging="360"/>
      </w:pPr>
    </w:lvl>
    <w:lvl w:ilvl="7" w:tplc="102228B2">
      <w:start w:val="1"/>
      <w:numFmt w:val="lowerLetter"/>
      <w:lvlText w:val="%8."/>
      <w:lvlJc w:val="left"/>
      <w:pPr>
        <w:ind w:left="5760" w:hanging="360"/>
      </w:pPr>
    </w:lvl>
    <w:lvl w:ilvl="8" w:tplc="B052BE00">
      <w:start w:val="1"/>
      <w:numFmt w:val="lowerRoman"/>
      <w:lvlText w:val="%9."/>
      <w:lvlJc w:val="right"/>
      <w:pPr>
        <w:ind w:left="6480" w:hanging="180"/>
      </w:pPr>
    </w:lvl>
  </w:abstractNum>
  <w:abstractNum w:abstractNumId="13" w15:restartNumberingAfterBreak="0">
    <w:nsid w:val="60B897E7"/>
    <w:multiLevelType w:val="hybridMultilevel"/>
    <w:tmpl w:val="2AB4B5D0"/>
    <w:lvl w:ilvl="0" w:tplc="9334AB48">
      <w:start w:val="2"/>
      <w:numFmt w:val="decimal"/>
      <w:lvlText w:val="%1."/>
      <w:lvlJc w:val="left"/>
      <w:pPr>
        <w:ind w:left="720" w:hanging="360"/>
      </w:pPr>
    </w:lvl>
    <w:lvl w:ilvl="1" w:tplc="6346CDD2">
      <w:start w:val="1"/>
      <w:numFmt w:val="lowerLetter"/>
      <w:lvlText w:val="%2."/>
      <w:lvlJc w:val="left"/>
      <w:pPr>
        <w:ind w:left="1440" w:hanging="360"/>
      </w:pPr>
    </w:lvl>
    <w:lvl w:ilvl="2" w:tplc="B1C2F9A2">
      <w:start w:val="1"/>
      <w:numFmt w:val="lowerRoman"/>
      <w:lvlText w:val="%3."/>
      <w:lvlJc w:val="right"/>
      <w:pPr>
        <w:ind w:left="2160" w:hanging="180"/>
      </w:pPr>
    </w:lvl>
    <w:lvl w:ilvl="3" w:tplc="65B67EAC">
      <w:start w:val="1"/>
      <w:numFmt w:val="decimal"/>
      <w:lvlText w:val="%4."/>
      <w:lvlJc w:val="left"/>
      <w:pPr>
        <w:ind w:left="2880" w:hanging="360"/>
      </w:pPr>
    </w:lvl>
    <w:lvl w:ilvl="4" w:tplc="F8E89202">
      <w:start w:val="1"/>
      <w:numFmt w:val="lowerLetter"/>
      <w:lvlText w:val="%5."/>
      <w:lvlJc w:val="left"/>
      <w:pPr>
        <w:ind w:left="3600" w:hanging="360"/>
      </w:pPr>
    </w:lvl>
    <w:lvl w:ilvl="5" w:tplc="DB2E0906">
      <w:start w:val="1"/>
      <w:numFmt w:val="lowerRoman"/>
      <w:lvlText w:val="%6."/>
      <w:lvlJc w:val="right"/>
      <w:pPr>
        <w:ind w:left="4320" w:hanging="180"/>
      </w:pPr>
    </w:lvl>
    <w:lvl w:ilvl="6" w:tplc="71B235DC">
      <w:start w:val="1"/>
      <w:numFmt w:val="decimal"/>
      <w:lvlText w:val="%7."/>
      <w:lvlJc w:val="left"/>
      <w:pPr>
        <w:ind w:left="5040" w:hanging="360"/>
      </w:pPr>
    </w:lvl>
    <w:lvl w:ilvl="7" w:tplc="7FE4BBCE">
      <w:start w:val="1"/>
      <w:numFmt w:val="lowerLetter"/>
      <w:lvlText w:val="%8."/>
      <w:lvlJc w:val="left"/>
      <w:pPr>
        <w:ind w:left="5760" w:hanging="360"/>
      </w:pPr>
    </w:lvl>
    <w:lvl w:ilvl="8" w:tplc="5E9C136E">
      <w:start w:val="1"/>
      <w:numFmt w:val="lowerRoman"/>
      <w:lvlText w:val="%9."/>
      <w:lvlJc w:val="right"/>
      <w:pPr>
        <w:ind w:left="6480" w:hanging="180"/>
      </w:pPr>
    </w:lvl>
  </w:abstractNum>
  <w:abstractNum w:abstractNumId="14" w15:restartNumberingAfterBreak="0">
    <w:nsid w:val="62073056"/>
    <w:multiLevelType w:val="hybridMultilevel"/>
    <w:tmpl w:val="25D4ABE6"/>
    <w:lvl w:ilvl="0" w:tplc="3B4E967C">
      <w:start w:val="1"/>
      <w:numFmt w:val="bullet"/>
      <w:lvlText w:val=""/>
      <w:lvlJc w:val="left"/>
      <w:pPr>
        <w:ind w:left="720" w:hanging="360"/>
      </w:pPr>
      <w:rPr>
        <w:rFonts w:ascii="Symbol" w:hAnsi="Symbol" w:hint="default"/>
      </w:rPr>
    </w:lvl>
    <w:lvl w:ilvl="1" w:tplc="A942E3DC">
      <w:start w:val="1"/>
      <w:numFmt w:val="bullet"/>
      <w:lvlText w:val="o"/>
      <w:lvlJc w:val="left"/>
      <w:pPr>
        <w:ind w:left="1440" w:hanging="360"/>
      </w:pPr>
      <w:rPr>
        <w:rFonts w:ascii="Courier New" w:hAnsi="Courier New" w:hint="default"/>
      </w:rPr>
    </w:lvl>
    <w:lvl w:ilvl="2" w:tplc="06F073E2">
      <w:start w:val="1"/>
      <w:numFmt w:val="bullet"/>
      <w:lvlText w:val=""/>
      <w:lvlJc w:val="left"/>
      <w:pPr>
        <w:ind w:left="2160" w:hanging="360"/>
      </w:pPr>
      <w:rPr>
        <w:rFonts w:ascii="Wingdings" w:hAnsi="Wingdings" w:hint="default"/>
      </w:rPr>
    </w:lvl>
    <w:lvl w:ilvl="3" w:tplc="2AA0905E">
      <w:start w:val="1"/>
      <w:numFmt w:val="bullet"/>
      <w:lvlText w:val=""/>
      <w:lvlJc w:val="left"/>
      <w:pPr>
        <w:ind w:left="2880" w:hanging="360"/>
      </w:pPr>
      <w:rPr>
        <w:rFonts w:ascii="Symbol" w:hAnsi="Symbol" w:hint="default"/>
      </w:rPr>
    </w:lvl>
    <w:lvl w:ilvl="4" w:tplc="EFF8AD22">
      <w:start w:val="1"/>
      <w:numFmt w:val="bullet"/>
      <w:lvlText w:val="o"/>
      <w:lvlJc w:val="left"/>
      <w:pPr>
        <w:ind w:left="3600" w:hanging="360"/>
      </w:pPr>
      <w:rPr>
        <w:rFonts w:ascii="Courier New" w:hAnsi="Courier New" w:hint="default"/>
      </w:rPr>
    </w:lvl>
    <w:lvl w:ilvl="5" w:tplc="98E89070">
      <w:start w:val="1"/>
      <w:numFmt w:val="bullet"/>
      <w:lvlText w:val=""/>
      <w:lvlJc w:val="left"/>
      <w:pPr>
        <w:ind w:left="4320" w:hanging="360"/>
      </w:pPr>
      <w:rPr>
        <w:rFonts w:ascii="Wingdings" w:hAnsi="Wingdings" w:hint="default"/>
      </w:rPr>
    </w:lvl>
    <w:lvl w:ilvl="6" w:tplc="7C4855A8">
      <w:start w:val="1"/>
      <w:numFmt w:val="bullet"/>
      <w:lvlText w:val=""/>
      <w:lvlJc w:val="left"/>
      <w:pPr>
        <w:ind w:left="5040" w:hanging="360"/>
      </w:pPr>
      <w:rPr>
        <w:rFonts w:ascii="Symbol" w:hAnsi="Symbol" w:hint="default"/>
      </w:rPr>
    </w:lvl>
    <w:lvl w:ilvl="7" w:tplc="A3545990">
      <w:start w:val="1"/>
      <w:numFmt w:val="bullet"/>
      <w:lvlText w:val="o"/>
      <w:lvlJc w:val="left"/>
      <w:pPr>
        <w:ind w:left="5760" w:hanging="360"/>
      </w:pPr>
      <w:rPr>
        <w:rFonts w:ascii="Courier New" w:hAnsi="Courier New" w:hint="default"/>
      </w:rPr>
    </w:lvl>
    <w:lvl w:ilvl="8" w:tplc="667E4980">
      <w:start w:val="1"/>
      <w:numFmt w:val="bullet"/>
      <w:lvlText w:val=""/>
      <w:lvlJc w:val="left"/>
      <w:pPr>
        <w:ind w:left="6480" w:hanging="360"/>
      </w:pPr>
      <w:rPr>
        <w:rFonts w:ascii="Wingdings" w:hAnsi="Wingdings" w:hint="default"/>
      </w:rPr>
    </w:lvl>
  </w:abstractNum>
  <w:abstractNum w:abstractNumId="15" w15:restartNumberingAfterBreak="0">
    <w:nsid w:val="6FA73C56"/>
    <w:multiLevelType w:val="hybridMultilevel"/>
    <w:tmpl w:val="FBCA2CBE"/>
    <w:lvl w:ilvl="0" w:tplc="C4A6BEEE">
      <w:start w:val="1"/>
      <w:numFmt w:val="bullet"/>
      <w:lvlText w:val=""/>
      <w:lvlJc w:val="left"/>
      <w:pPr>
        <w:ind w:left="720" w:hanging="360"/>
      </w:pPr>
      <w:rPr>
        <w:rFonts w:ascii="Symbol" w:hAnsi="Symbol" w:hint="default"/>
      </w:rPr>
    </w:lvl>
    <w:lvl w:ilvl="1" w:tplc="66483FB4">
      <w:start w:val="1"/>
      <w:numFmt w:val="bullet"/>
      <w:lvlText w:val="o"/>
      <w:lvlJc w:val="left"/>
      <w:pPr>
        <w:ind w:left="1440" w:hanging="360"/>
      </w:pPr>
      <w:rPr>
        <w:rFonts w:ascii="Courier New" w:hAnsi="Courier New" w:hint="default"/>
      </w:rPr>
    </w:lvl>
    <w:lvl w:ilvl="2" w:tplc="6CF2E63E">
      <w:start w:val="1"/>
      <w:numFmt w:val="bullet"/>
      <w:lvlText w:val=""/>
      <w:lvlJc w:val="left"/>
      <w:pPr>
        <w:ind w:left="2160" w:hanging="360"/>
      </w:pPr>
      <w:rPr>
        <w:rFonts w:ascii="Wingdings" w:hAnsi="Wingdings" w:hint="default"/>
      </w:rPr>
    </w:lvl>
    <w:lvl w:ilvl="3" w:tplc="57D297CE">
      <w:start w:val="1"/>
      <w:numFmt w:val="bullet"/>
      <w:lvlText w:val=""/>
      <w:lvlJc w:val="left"/>
      <w:pPr>
        <w:ind w:left="2880" w:hanging="360"/>
      </w:pPr>
      <w:rPr>
        <w:rFonts w:ascii="Symbol" w:hAnsi="Symbol" w:hint="default"/>
      </w:rPr>
    </w:lvl>
    <w:lvl w:ilvl="4" w:tplc="29669E16">
      <w:start w:val="1"/>
      <w:numFmt w:val="bullet"/>
      <w:lvlText w:val="o"/>
      <w:lvlJc w:val="left"/>
      <w:pPr>
        <w:ind w:left="3600" w:hanging="360"/>
      </w:pPr>
      <w:rPr>
        <w:rFonts w:ascii="Courier New" w:hAnsi="Courier New" w:hint="default"/>
      </w:rPr>
    </w:lvl>
    <w:lvl w:ilvl="5" w:tplc="5A54BB0C">
      <w:start w:val="1"/>
      <w:numFmt w:val="bullet"/>
      <w:lvlText w:val=""/>
      <w:lvlJc w:val="left"/>
      <w:pPr>
        <w:ind w:left="4320" w:hanging="360"/>
      </w:pPr>
      <w:rPr>
        <w:rFonts w:ascii="Wingdings" w:hAnsi="Wingdings" w:hint="default"/>
      </w:rPr>
    </w:lvl>
    <w:lvl w:ilvl="6" w:tplc="5AF0FF38">
      <w:start w:val="1"/>
      <w:numFmt w:val="bullet"/>
      <w:lvlText w:val=""/>
      <w:lvlJc w:val="left"/>
      <w:pPr>
        <w:ind w:left="5040" w:hanging="360"/>
      </w:pPr>
      <w:rPr>
        <w:rFonts w:ascii="Symbol" w:hAnsi="Symbol" w:hint="default"/>
      </w:rPr>
    </w:lvl>
    <w:lvl w:ilvl="7" w:tplc="B8B46356">
      <w:start w:val="1"/>
      <w:numFmt w:val="bullet"/>
      <w:lvlText w:val="o"/>
      <w:lvlJc w:val="left"/>
      <w:pPr>
        <w:ind w:left="5760" w:hanging="360"/>
      </w:pPr>
      <w:rPr>
        <w:rFonts w:ascii="Courier New" w:hAnsi="Courier New" w:hint="default"/>
      </w:rPr>
    </w:lvl>
    <w:lvl w:ilvl="8" w:tplc="41C46802">
      <w:start w:val="1"/>
      <w:numFmt w:val="bullet"/>
      <w:lvlText w:val=""/>
      <w:lvlJc w:val="left"/>
      <w:pPr>
        <w:ind w:left="6480" w:hanging="360"/>
      </w:pPr>
      <w:rPr>
        <w:rFonts w:ascii="Wingdings" w:hAnsi="Wingdings" w:hint="default"/>
      </w:rPr>
    </w:lvl>
  </w:abstractNum>
  <w:abstractNum w:abstractNumId="16" w15:restartNumberingAfterBreak="0">
    <w:nsid w:val="739620F0"/>
    <w:multiLevelType w:val="multilevel"/>
    <w:tmpl w:val="7B62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87A164"/>
    <w:multiLevelType w:val="hybridMultilevel"/>
    <w:tmpl w:val="8AAC6DAC"/>
    <w:lvl w:ilvl="0" w:tplc="02E426B2">
      <w:start w:val="1"/>
      <w:numFmt w:val="bullet"/>
      <w:lvlText w:val=""/>
      <w:lvlJc w:val="left"/>
      <w:pPr>
        <w:ind w:left="720" w:hanging="360"/>
      </w:pPr>
      <w:rPr>
        <w:rFonts w:ascii="Symbol" w:hAnsi="Symbol" w:hint="default"/>
      </w:rPr>
    </w:lvl>
    <w:lvl w:ilvl="1" w:tplc="EFDEDB3C">
      <w:start w:val="1"/>
      <w:numFmt w:val="bullet"/>
      <w:lvlText w:val="o"/>
      <w:lvlJc w:val="left"/>
      <w:pPr>
        <w:ind w:left="1440" w:hanging="360"/>
      </w:pPr>
      <w:rPr>
        <w:rFonts w:ascii="Courier New" w:hAnsi="Courier New" w:hint="default"/>
      </w:rPr>
    </w:lvl>
    <w:lvl w:ilvl="2" w:tplc="21B46766">
      <w:start w:val="1"/>
      <w:numFmt w:val="bullet"/>
      <w:lvlText w:val=""/>
      <w:lvlJc w:val="left"/>
      <w:pPr>
        <w:ind w:left="2160" w:hanging="360"/>
      </w:pPr>
      <w:rPr>
        <w:rFonts w:ascii="Wingdings" w:hAnsi="Wingdings" w:hint="default"/>
      </w:rPr>
    </w:lvl>
    <w:lvl w:ilvl="3" w:tplc="3D600DA0">
      <w:start w:val="1"/>
      <w:numFmt w:val="bullet"/>
      <w:lvlText w:val=""/>
      <w:lvlJc w:val="left"/>
      <w:pPr>
        <w:ind w:left="2880" w:hanging="360"/>
      </w:pPr>
      <w:rPr>
        <w:rFonts w:ascii="Symbol" w:hAnsi="Symbol" w:hint="default"/>
      </w:rPr>
    </w:lvl>
    <w:lvl w:ilvl="4" w:tplc="0E5A12D4">
      <w:start w:val="1"/>
      <w:numFmt w:val="bullet"/>
      <w:lvlText w:val="o"/>
      <w:lvlJc w:val="left"/>
      <w:pPr>
        <w:ind w:left="3600" w:hanging="360"/>
      </w:pPr>
      <w:rPr>
        <w:rFonts w:ascii="Courier New" w:hAnsi="Courier New" w:hint="default"/>
      </w:rPr>
    </w:lvl>
    <w:lvl w:ilvl="5" w:tplc="B66CBABA">
      <w:start w:val="1"/>
      <w:numFmt w:val="bullet"/>
      <w:lvlText w:val=""/>
      <w:lvlJc w:val="left"/>
      <w:pPr>
        <w:ind w:left="4320" w:hanging="360"/>
      </w:pPr>
      <w:rPr>
        <w:rFonts w:ascii="Wingdings" w:hAnsi="Wingdings" w:hint="default"/>
      </w:rPr>
    </w:lvl>
    <w:lvl w:ilvl="6" w:tplc="F342B5E6">
      <w:start w:val="1"/>
      <w:numFmt w:val="bullet"/>
      <w:lvlText w:val=""/>
      <w:lvlJc w:val="left"/>
      <w:pPr>
        <w:ind w:left="5040" w:hanging="360"/>
      </w:pPr>
      <w:rPr>
        <w:rFonts w:ascii="Symbol" w:hAnsi="Symbol" w:hint="default"/>
      </w:rPr>
    </w:lvl>
    <w:lvl w:ilvl="7" w:tplc="ADF2B760">
      <w:start w:val="1"/>
      <w:numFmt w:val="bullet"/>
      <w:lvlText w:val="o"/>
      <w:lvlJc w:val="left"/>
      <w:pPr>
        <w:ind w:left="5760" w:hanging="360"/>
      </w:pPr>
      <w:rPr>
        <w:rFonts w:ascii="Courier New" w:hAnsi="Courier New" w:hint="default"/>
      </w:rPr>
    </w:lvl>
    <w:lvl w:ilvl="8" w:tplc="52AA9BC0">
      <w:start w:val="1"/>
      <w:numFmt w:val="bullet"/>
      <w:lvlText w:val=""/>
      <w:lvlJc w:val="left"/>
      <w:pPr>
        <w:ind w:left="6480" w:hanging="360"/>
      </w:pPr>
      <w:rPr>
        <w:rFonts w:ascii="Wingdings" w:hAnsi="Wingdings" w:hint="default"/>
      </w:rPr>
    </w:lvl>
  </w:abstractNum>
  <w:abstractNum w:abstractNumId="18" w15:restartNumberingAfterBreak="0">
    <w:nsid w:val="74A29C44"/>
    <w:multiLevelType w:val="hybridMultilevel"/>
    <w:tmpl w:val="A62447D2"/>
    <w:lvl w:ilvl="0" w:tplc="9ACC25EC">
      <w:start w:val="2"/>
      <w:numFmt w:val="decimal"/>
      <w:lvlText w:val="%1."/>
      <w:lvlJc w:val="left"/>
      <w:pPr>
        <w:ind w:left="720" w:hanging="360"/>
      </w:pPr>
    </w:lvl>
    <w:lvl w:ilvl="1" w:tplc="3B361082">
      <w:start w:val="1"/>
      <w:numFmt w:val="lowerLetter"/>
      <w:lvlText w:val="%2."/>
      <w:lvlJc w:val="left"/>
      <w:pPr>
        <w:ind w:left="1440" w:hanging="360"/>
      </w:pPr>
    </w:lvl>
    <w:lvl w:ilvl="2" w:tplc="A1F84322">
      <w:start w:val="1"/>
      <w:numFmt w:val="lowerRoman"/>
      <w:lvlText w:val="%3."/>
      <w:lvlJc w:val="right"/>
      <w:pPr>
        <w:ind w:left="2160" w:hanging="180"/>
      </w:pPr>
    </w:lvl>
    <w:lvl w:ilvl="3" w:tplc="CAC0CFEA">
      <w:start w:val="1"/>
      <w:numFmt w:val="decimal"/>
      <w:lvlText w:val="%4."/>
      <w:lvlJc w:val="left"/>
      <w:pPr>
        <w:ind w:left="2880" w:hanging="360"/>
      </w:pPr>
    </w:lvl>
    <w:lvl w:ilvl="4" w:tplc="DB8E6412">
      <w:start w:val="1"/>
      <w:numFmt w:val="lowerLetter"/>
      <w:lvlText w:val="%5."/>
      <w:lvlJc w:val="left"/>
      <w:pPr>
        <w:ind w:left="3600" w:hanging="360"/>
      </w:pPr>
    </w:lvl>
    <w:lvl w:ilvl="5" w:tplc="975AF2AA">
      <w:start w:val="1"/>
      <w:numFmt w:val="lowerRoman"/>
      <w:lvlText w:val="%6."/>
      <w:lvlJc w:val="right"/>
      <w:pPr>
        <w:ind w:left="4320" w:hanging="180"/>
      </w:pPr>
    </w:lvl>
    <w:lvl w:ilvl="6" w:tplc="FE849C1E">
      <w:start w:val="1"/>
      <w:numFmt w:val="decimal"/>
      <w:lvlText w:val="%7."/>
      <w:lvlJc w:val="left"/>
      <w:pPr>
        <w:ind w:left="5040" w:hanging="360"/>
      </w:pPr>
    </w:lvl>
    <w:lvl w:ilvl="7" w:tplc="B9DEF83A">
      <w:start w:val="1"/>
      <w:numFmt w:val="lowerLetter"/>
      <w:lvlText w:val="%8."/>
      <w:lvlJc w:val="left"/>
      <w:pPr>
        <w:ind w:left="5760" w:hanging="360"/>
      </w:pPr>
    </w:lvl>
    <w:lvl w:ilvl="8" w:tplc="4EA0B778">
      <w:start w:val="1"/>
      <w:numFmt w:val="lowerRoman"/>
      <w:lvlText w:val="%9."/>
      <w:lvlJc w:val="right"/>
      <w:pPr>
        <w:ind w:left="6480" w:hanging="180"/>
      </w:pPr>
    </w:lvl>
  </w:abstractNum>
  <w:abstractNum w:abstractNumId="19" w15:restartNumberingAfterBreak="0">
    <w:nsid w:val="7BC2FFA4"/>
    <w:multiLevelType w:val="hybridMultilevel"/>
    <w:tmpl w:val="DBCCC4AC"/>
    <w:lvl w:ilvl="0" w:tplc="93A47AAA">
      <w:start w:val="1"/>
      <w:numFmt w:val="bullet"/>
      <w:lvlText w:val=""/>
      <w:lvlJc w:val="left"/>
      <w:pPr>
        <w:ind w:left="720" w:hanging="360"/>
      </w:pPr>
      <w:rPr>
        <w:rFonts w:ascii="Symbol" w:hAnsi="Symbol" w:hint="default"/>
      </w:rPr>
    </w:lvl>
    <w:lvl w:ilvl="1" w:tplc="52B458E4">
      <w:start w:val="1"/>
      <w:numFmt w:val="bullet"/>
      <w:lvlText w:val="o"/>
      <w:lvlJc w:val="left"/>
      <w:pPr>
        <w:ind w:left="1440" w:hanging="360"/>
      </w:pPr>
      <w:rPr>
        <w:rFonts w:ascii="Courier New" w:hAnsi="Courier New" w:hint="default"/>
      </w:rPr>
    </w:lvl>
    <w:lvl w:ilvl="2" w:tplc="8848A526">
      <w:start w:val="1"/>
      <w:numFmt w:val="bullet"/>
      <w:lvlText w:val=""/>
      <w:lvlJc w:val="left"/>
      <w:pPr>
        <w:ind w:left="2160" w:hanging="360"/>
      </w:pPr>
      <w:rPr>
        <w:rFonts w:ascii="Wingdings" w:hAnsi="Wingdings" w:hint="default"/>
      </w:rPr>
    </w:lvl>
    <w:lvl w:ilvl="3" w:tplc="4ADC4ADA">
      <w:start w:val="1"/>
      <w:numFmt w:val="bullet"/>
      <w:lvlText w:val=""/>
      <w:lvlJc w:val="left"/>
      <w:pPr>
        <w:ind w:left="2880" w:hanging="360"/>
      </w:pPr>
      <w:rPr>
        <w:rFonts w:ascii="Symbol" w:hAnsi="Symbol" w:hint="default"/>
      </w:rPr>
    </w:lvl>
    <w:lvl w:ilvl="4" w:tplc="1D3027D8">
      <w:start w:val="1"/>
      <w:numFmt w:val="bullet"/>
      <w:lvlText w:val="o"/>
      <w:lvlJc w:val="left"/>
      <w:pPr>
        <w:ind w:left="3600" w:hanging="360"/>
      </w:pPr>
      <w:rPr>
        <w:rFonts w:ascii="Courier New" w:hAnsi="Courier New" w:hint="default"/>
      </w:rPr>
    </w:lvl>
    <w:lvl w:ilvl="5" w:tplc="1166B200">
      <w:start w:val="1"/>
      <w:numFmt w:val="bullet"/>
      <w:lvlText w:val=""/>
      <w:lvlJc w:val="left"/>
      <w:pPr>
        <w:ind w:left="4320" w:hanging="360"/>
      </w:pPr>
      <w:rPr>
        <w:rFonts w:ascii="Wingdings" w:hAnsi="Wingdings" w:hint="default"/>
      </w:rPr>
    </w:lvl>
    <w:lvl w:ilvl="6" w:tplc="38D0025E">
      <w:start w:val="1"/>
      <w:numFmt w:val="bullet"/>
      <w:lvlText w:val=""/>
      <w:lvlJc w:val="left"/>
      <w:pPr>
        <w:ind w:left="5040" w:hanging="360"/>
      </w:pPr>
      <w:rPr>
        <w:rFonts w:ascii="Symbol" w:hAnsi="Symbol" w:hint="default"/>
      </w:rPr>
    </w:lvl>
    <w:lvl w:ilvl="7" w:tplc="43A81992">
      <w:start w:val="1"/>
      <w:numFmt w:val="bullet"/>
      <w:lvlText w:val="o"/>
      <w:lvlJc w:val="left"/>
      <w:pPr>
        <w:ind w:left="5760" w:hanging="360"/>
      </w:pPr>
      <w:rPr>
        <w:rFonts w:ascii="Courier New" w:hAnsi="Courier New" w:hint="default"/>
      </w:rPr>
    </w:lvl>
    <w:lvl w:ilvl="8" w:tplc="4A449CE6">
      <w:start w:val="1"/>
      <w:numFmt w:val="bullet"/>
      <w:lvlText w:val=""/>
      <w:lvlJc w:val="left"/>
      <w:pPr>
        <w:ind w:left="6480" w:hanging="360"/>
      </w:pPr>
      <w:rPr>
        <w:rFonts w:ascii="Wingdings" w:hAnsi="Wingdings" w:hint="default"/>
      </w:rPr>
    </w:lvl>
  </w:abstractNum>
  <w:abstractNum w:abstractNumId="20" w15:restartNumberingAfterBreak="0">
    <w:nsid w:val="7DB029CA"/>
    <w:multiLevelType w:val="multilevel"/>
    <w:tmpl w:val="AFC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002429">
    <w:abstractNumId w:val="9"/>
  </w:num>
  <w:num w:numId="2" w16cid:durableId="1859584874">
    <w:abstractNumId w:val="15"/>
  </w:num>
  <w:num w:numId="3" w16cid:durableId="316037333">
    <w:abstractNumId w:val="18"/>
  </w:num>
  <w:num w:numId="4" w16cid:durableId="1040134668">
    <w:abstractNumId w:val="2"/>
  </w:num>
  <w:num w:numId="5" w16cid:durableId="1160735905">
    <w:abstractNumId w:val="1"/>
  </w:num>
  <w:num w:numId="6" w16cid:durableId="685180633">
    <w:abstractNumId w:val="12"/>
  </w:num>
  <w:num w:numId="7" w16cid:durableId="728923040">
    <w:abstractNumId w:val="3"/>
  </w:num>
  <w:num w:numId="8" w16cid:durableId="1966739158">
    <w:abstractNumId w:val="10"/>
  </w:num>
  <w:num w:numId="9" w16cid:durableId="904878940">
    <w:abstractNumId w:val="0"/>
  </w:num>
  <w:num w:numId="10" w16cid:durableId="1469664150">
    <w:abstractNumId w:val="4"/>
  </w:num>
  <w:num w:numId="11" w16cid:durableId="545680895">
    <w:abstractNumId w:val="17"/>
  </w:num>
  <w:num w:numId="12" w16cid:durableId="1452476557">
    <w:abstractNumId w:val="13"/>
  </w:num>
  <w:num w:numId="13" w16cid:durableId="1538927033">
    <w:abstractNumId w:val="6"/>
  </w:num>
  <w:num w:numId="14" w16cid:durableId="232085006">
    <w:abstractNumId w:val="11"/>
  </w:num>
  <w:num w:numId="15" w16cid:durableId="1646473220">
    <w:abstractNumId w:val="5"/>
  </w:num>
  <w:num w:numId="16" w16cid:durableId="1169516349">
    <w:abstractNumId w:val="20"/>
  </w:num>
  <w:num w:numId="17" w16cid:durableId="1173765248">
    <w:abstractNumId w:val="19"/>
  </w:num>
  <w:num w:numId="18" w16cid:durableId="243730985">
    <w:abstractNumId w:val="16"/>
  </w:num>
  <w:num w:numId="19" w16cid:durableId="435908460">
    <w:abstractNumId w:val="14"/>
  </w:num>
  <w:num w:numId="20" w16cid:durableId="818883914">
    <w:abstractNumId w:val="8"/>
  </w:num>
  <w:num w:numId="21" w16cid:durableId="9981217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54933E"/>
    <w:rsid w:val="00072EDB"/>
    <w:rsid w:val="0016470F"/>
    <w:rsid w:val="001842E5"/>
    <w:rsid w:val="00214F7E"/>
    <w:rsid w:val="00226A11"/>
    <w:rsid w:val="002D7591"/>
    <w:rsid w:val="002E74BB"/>
    <w:rsid w:val="00303BA3"/>
    <w:rsid w:val="00335F23"/>
    <w:rsid w:val="00354357"/>
    <w:rsid w:val="003A00E1"/>
    <w:rsid w:val="003A0132"/>
    <w:rsid w:val="003B01C5"/>
    <w:rsid w:val="003D124D"/>
    <w:rsid w:val="0046727F"/>
    <w:rsid w:val="00472A16"/>
    <w:rsid w:val="0048375A"/>
    <w:rsid w:val="004A6FA9"/>
    <w:rsid w:val="004B589D"/>
    <w:rsid w:val="004D163B"/>
    <w:rsid w:val="00502C04"/>
    <w:rsid w:val="00545FEB"/>
    <w:rsid w:val="006F3EF2"/>
    <w:rsid w:val="006F3FBC"/>
    <w:rsid w:val="00711AD2"/>
    <w:rsid w:val="00795465"/>
    <w:rsid w:val="007A186D"/>
    <w:rsid w:val="007E5A57"/>
    <w:rsid w:val="00857CDD"/>
    <w:rsid w:val="008D3693"/>
    <w:rsid w:val="008F4F96"/>
    <w:rsid w:val="00926EB1"/>
    <w:rsid w:val="009646EA"/>
    <w:rsid w:val="009B73F9"/>
    <w:rsid w:val="009C67B8"/>
    <w:rsid w:val="00A072E4"/>
    <w:rsid w:val="00A114BB"/>
    <w:rsid w:val="00A209A9"/>
    <w:rsid w:val="00A81DD2"/>
    <w:rsid w:val="00AC0565"/>
    <w:rsid w:val="00B43CD9"/>
    <w:rsid w:val="00CA6099"/>
    <w:rsid w:val="00D8144E"/>
    <w:rsid w:val="00DC6200"/>
    <w:rsid w:val="00E0103A"/>
    <w:rsid w:val="00E403EF"/>
    <w:rsid w:val="00E42134"/>
    <w:rsid w:val="00E57D25"/>
    <w:rsid w:val="00EC7AA9"/>
    <w:rsid w:val="00F140F1"/>
    <w:rsid w:val="00F30706"/>
    <w:rsid w:val="00F34DDB"/>
    <w:rsid w:val="00FB1C4E"/>
    <w:rsid w:val="015797C9"/>
    <w:rsid w:val="0198E9CB"/>
    <w:rsid w:val="0293DC92"/>
    <w:rsid w:val="03A0A675"/>
    <w:rsid w:val="03AC825C"/>
    <w:rsid w:val="04C39830"/>
    <w:rsid w:val="0528BAED"/>
    <w:rsid w:val="0746235C"/>
    <w:rsid w:val="07F3E596"/>
    <w:rsid w:val="09187868"/>
    <w:rsid w:val="09473D18"/>
    <w:rsid w:val="09E357E6"/>
    <w:rsid w:val="0BB051A5"/>
    <w:rsid w:val="0DB71DE6"/>
    <w:rsid w:val="0DD73543"/>
    <w:rsid w:val="0F39ABA2"/>
    <w:rsid w:val="0FA4B81F"/>
    <w:rsid w:val="1084BAC4"/>
    <w:rsid w:val="121E5D81"/>
    <w:rsid w:val="16A44587"/>
    <w:rsid w:val="1B454D64"/>
    <w:rsid w:val="1C66FC7D"/>
    <w:rsid w:val="1F54933E"/>
    <w:rsid w:val="22511E2C"/>
    <w:rsid w:val="233B08B8"/>
    <w:rsid w:val="23DD79F1"/>
    <w:rsid w:val="280FD126"/>
    <w:rsid w:val="287656EB"/>
    <w:rsid w:val="2C2F6EE7"/>
    <w:rsid w:val="2D049AA7"/>
    <w:rsid w:val="2DB06ABA"/>
    <w:rsid w:val="2E6F3D13"/>
    <w:rsid w:val="2E807D05"/>
    <w:rsid w:val="2EB10FC1"/>
    <w:rsid w:val="2FA8711A"/>
    <w:rsid w:val="30277624"/>
    <w:rsid w:val="30633927"/>
    <w:rsid w:val="32D5B5E1"/>
    <w:rsid w:val="330E64BA"/>
    <w:rsid w:val="36ACBBF6"/>
    <w:rsid w:val="3AE8B4FD"/>
    <w:rsid w:val="3BCB09AA"/>
    <w:rsid w:val="427BD94E"/>
    <w:rsid w:val="42F9424E"/>
    <w:rsid w:val="43FE8BE4"/>
    <w:rsid w:val="4464E703"/>
    <w:rsid w:val="48BEFF88"/>
    <w:rsid w:val="4A744BFB"/>
    <w:rsid w:val="4AA1E698"/>
    <w:rsid w:val="4C6C0B89"/>
    <w:rsid w:val="4F3D4BE3"/>
    <w:rsid w:val="50C49653"/>
    <w:rsid w:val="523F8C46"/>
    <w:rsid w:val="528E7829"/>
    <w:rsid w:val="53047EDF"/>
    <w:rsid w:val="5579A7E9"/>
    <w:rsid w:val="57107863"/>
    <w:rsid w:val="58702255"/>
    <w:rsid w:val="5BF3DA61"/>
    <w:rsid w:val="5E16970D"/>
    <w:rsid w:val="606AD1B3"/>
    <w:rsid w:val="61C7F545"/>
    <w:rsid w:val="654788D9"/>
    <w:rsid w:val="65783473"/>
    <w:rsid w:val="68B7BE70"/>
    <w:rsid w:val="68BDE695"/>
    <w:rsid w:val="692956E5"/>
    <w:rsid w:val="6C1DD160"/>
    <w:rsid w:val="6C61EA59"/>
    <w:rsid w:val="6D7F63DE"/>
    <w:rsid w:val="6EE4F4D9"/>
    <w:rsid w:val="72D3967B"/>
    <w:rsid w:val="73430AA2"/>
    <w:rsid w:val="74C2ED88"/>
    <w:rsid w:val="75D0A3F0"/>
    <w:rsid w:val="7701FB44"/>
    <w:rsid w:val="786543C7"/>
    <w:rsid w:val="7901BDF4"/>
    <w:rsid w:val="7A548B43"/>
    <w:rsid w:val="7ACCADD0"/>
    <w:rsid w:val="7CA1EDF5"/>
    <w:rsid w:val="7E7D3BC3"/>
    <w:rsid w:val="7FEFF9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933E"/>
  <w15:chartTrackingRefBased/>
  <w15:docId w15:val="{186A7E30-439B-4B1A-A0E7-F99370B6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0FA4B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40"/>
      <w:szCs w:val="40"/>
    </w:rPr>
  </w:style>
  <w:style w:type="paragraph" w:styleId="Prrafodelista">
    <w:name w:val="List Paragraph"/>
    <w:basedOn w:val="Normal"/>
    <w:uiPriority w:val="34"/>
    <w:qFormat/>
    <w:rsid w:val="0FA4B81F"/>
    <w:pPr>
      <w:ind w:left="720"/>
      <w:contextualSpacing/>
    </w:pPr>
  </w:style>
  <w:style w:type="character" w:customStyle="1" w:styleId="Ttulo3Car">
    <w:name w:val="Título 3 Car"/>
    <w:basedOn w:val="Fuentedeprrafopredeter"/>
    <w:link w:val="Ttulo3"/>
    <w:uiPriority w:val="9"/>
    <w:rPr>
      <w:rFonts w:eastAsiaTheme="majorEastAsia" w:cstheme="majorBidi"/>
      <w:color w:val="0F4761" w:themeColor="accent1" w:themeShade="BF"/>
      <w:sz w:val="28"/>
      <w:szCs w:val="28"/>
    </w:rPr>
  </w:style>
  <w:style w:type="character" w:styleId="Hipervnculo">
    <w:name w:val="Hyperlink"/>
    <w:basedOn w:val="Fuentedeprrafopredeter"/>
    <w:uiPriority w:val="99"/>
    <w:unhideWhenUsed/>
    <w:rsid w:val="004B589D"/>
    <w:rPr>
      <w:color w:val="467886" w:themeColor="hyperlink"/>
      <w:u w:val="single"/>
    </w:rPr>
  </w:style>
  <w:style w:type="character" w:styleId="Mencinsinresolver">
    <w:name w:val="Unresolved Mention"/>
    <w:basedOn w:val="Fuentedeprrafopredeter"/>
    <w:uiPriority w:val="99"/>
    <w:semiHidden/>
    <w:unhideWhenUsed/>
    <w:rsid w:val="004B589D"/>
    <w:rPr>
      <w:color w:val="605E5C"/>
      <w:shd w:val="clear" w:color="auto" w:fill="E1DFDD"/>
    </w:rPr>
  </w:style>
  <w:style w:type="character" w:styleId="Hipervnculovisitado">
    <w:name w:val="FollowedHyperlink"/>
    <w:basedOn w:val="Fuentedeprrafopredeter"/>
    <w:uiPriority w:val="99"/>
    <w:semiHidden/>
    <w:unhideWhenUsed/>
    <w:rsid w:val="00472A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youtu.be/PpJRMKCwz5s?si=y0CItAcGnTU7B4ez" TargetMode="External"/><Relationship Id="rId26" Type="http://schemas.openxmlformats.org/officeDocument/2006/relationships/hyperlink" Target="https://youtu.be/rmQHwiuZA3s?si=Al2Nn8-5-RCtLtL5" TargetMode="External"/><Relationship Id="rId3" Type="http://schemas.openxmlformats.org/officeDocument/2006/relationships/customXml" Target="../customXml/item3.xml"/><Relationship Id="rId21" Type="http://schemas.openxmlformats.org/officeDocument/2006/relationships/hyperlink" Target="https://youtu.be/zmNz0cTcxFU?si=kiQZcTrtieaVMl78" TargetMode="External"/><Relationship Id="rId7" Type="http://schemas.openxmlformats.org/officeDocument/2006/relationships/webSettings" Target="webSettings.xml"/><Relationship Id="rId12" Type="http://schemas.openxmlformats.org/officeDocument/2006/relationships/hyperlink" Target="https://www.youtube.com/watch?si=FQsOKTqgnZHL1bI7&amp;v=gQF1sWlc_qI&amp;feature=youtu.be" TargetMode="External"/><Relationship Id="rId17" Type="http://schemas.openxmlformats.org/officeDocument/2006/relationships/image" Target="media/image5.png"/><Relationship Id="rId25" Type="http://schemas.openxmlformats.org/officeDocument/2006/relationships/hyperlink" Target="https://youtu.be/rmQHwiuZA3s?si=Al2Nn8-5-RCtLtL5" TargetMode="External"/><Relationship Id="rId2" Type="http://schemas.openxmlformats.org/officeDocument/2006/relationships/customXml" Target="../customXml/item2.xml"/><Relationship Id="rId16" Type="http://schemas.openxmlformats.org/officeDocument/2006/relationships/hyperlink" Target="https://youtu.be/KqQM_5cHuQw?si=lOgxkd8aGU2NTtfw"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si=FQsOKTqgnZHL1bI7&amp;v=gQF1sWlc_qI&amp;feature=youtu.be" TargetMode="External"/><Relationship Id="rId24" Type="http://schemas.openxmlformats.org/officeDocument/2006/relationships/image" Target="media/image8.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youtu.be/WOqwIxTr0hA?si=a6GN5nxy8W-2HbDI"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youtu.be/PpJRMKCwz5s?si=y0CItAcGnTU7B4ez" TargetMode="External"/><Relationship Id="rId4" Type="http://schemas.openxmlformats.org/officeDocument/2006/relationships/numbering" Target="numbering.xml"/><Relationship Id="rId9" Type="http://schemas.openxmlformats.org/officeDocument/2006/relationships/hyperlink" Target="https://youtu.be/483UvOQnkQ4?si=OfLkhOwE-WtzGG-4" TargetMode="External"/><Relationship Id="rId14" Type="http://schemas.openxmlformats.org/officeDocument/2006/relationships/hyperlink" Target="https://youtu.be/rYITKyEGLSM?si=GXg9Z93qi7d9AL9R" TargetMode="Externa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A4667-B67C-489D-9F94-002A0F6EC9E4}">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212436CE-990A-4359-B2FE-96D0C71E1A41}">
  <ds:schemaRefs>
    <ds:schemaRef ds:uri="http://schemas.microsoft.com/sharepoint/v3/contenttype/forms"/>
  </ds:schemaRefs>
</ds:datastoreItem>
</file>

<file path=customXml/itemProps3.xml><?xml version="1.0" encoding="utf-8"?>
<ds:datastoreItem xmlns:ds="http://schemas.openxmlformats.org/officeDocument/2006/customXml" ds:itemID="{68008238-E72D-4EE9-B302-51BE59264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1562</Words>
  <Characters>8595</Characters>
  <Application>Microsoft Office Word</Application>
  <DocSecurity>0</DocSecurity>
  <Lines>71</Lines>
  <Paragraphs>20</Paragraphs>
  <ScaleCrop>false</ScaleCrop>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46</cp:revision>
  <dcterms:created xsi:type="dcterms:W3CDTF">2025-11-25T09:45:00Z</dcterms:created>
  <dcterms:modified xsi:type="dcterms:W3CDTF">2026-09-15T12:34:00Z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